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053" w:rsidRDefault="00972FB1">
      <w:pPr>
        <w:pStyle w:val="Default"/>
        <w:rPr>
          <w:b/>
          <w:bCs/>
          <w:color w:val="212121"/>
        </w:rPr>
      </w:pPr>
      <w:bookmarkStart w:id="0" w:name="_GoBack"/>
      <w:bookmarkEnd w:id="0"/>
      <w:r>
        <w:rPr>
          <w:b/>
          <w:bCs/>
          <w:color w:val="212121"/>
        </w:rPr>
        <w:t xml:space="preserve">Mode de </w:t>
      </w:r>
      <w:proofErr w:type="spellStart"/>
      <w:r>
        <w:rPr>
          <w:b/>
          <w:bCs/>
          <w:color w:val="212121"/>
        </w:rPr>
        <w:t>vie</w:t>
      </w:r>
      <w:proofErr w:type="spellEnd"/>
      <w:r>
        <w:rPr>
          <w:b/>
          <w:bCs/>
          <w:color w:val="212121"/>
        </w:rPr>
        <w:t xml:space="preserve"> </w:t>
      </w:r>
      <w:proofErr w:type="spellStart"/>
      <w:proofErr w:type="gramStart"/>
      <w:r>
        <w:rPr>
          <w:b/>
          <w:bCs/>
          <w:color w:val="212121"/>
        </w:rPr>
        <w:t>sédentaire</w:t>
      </w:r>
      <w:proofErr w:type="spellEnd"/>
      <w:r>
        <w:rPr>
          <w:b/>
          <w:bCs/>
          <w:color w:val="212121"/>
        </w:rPr>
        <w:t xml:space="preserve"> :</w:t>
      </w:r>
      <w:proofErr w:type="gramEnd"/>
      <w:r>
        <w:rPr>
          <w:b/>
          <w:bCs/>
          <w:color w:val="212121"/>
        </w:rPr>
        <w:t xml:space="preserve"> </w:t>
      </w:r>
      <w:proofErr w:type="spellStart"/>
      <w:r>
        <w:rPr>
          <w:b/>
          <w:bCs/>
          <w:color w:val="212121"/>
        </w:rPr>
        <w:t>un</w:t>
      </w:r>
      <w:proofErr w:type="spellEnd"/>
      <w:r>
        <w:rPr>
          <w:b/>
          <w:bCs/>
          <w:color w:val="212121"/>
        </w:rPr>
        <w:t xml:space="preserve"> </w:t>
      </w:r>
      <w:proofErr w:type="spellStart"/>
      <w:r>
        <w:rPr>
          <w:b/>
          <w:bCs/>
          <w:color w:val="212121"/>
        </w:rPr>
        <w:t>domaine</w:t>
      </w:r>
      <w:proofErr w:type="spellEnd"/>
      <w:r>
        <w:rPr>
          <w:b/>
          <w:bCs/>
          <w:color w:val="212121"/>
        </w:rPr>
        <w:t xml:space="preserve"> de </w:t>
      </w:r>
      <w:proofErr w:type="spellStart"/>
      <w:r>
        <w:rPr>
          <w:b/>
          <w:bCs/>
          <w:color w:val="212121"/>
        </w:rPr>
        <w:t>recherche</w:t>
      </w:r>
      <w:proofErr w:type="spellEnd"/>
      <w:r>
        <w:rPr>
          <w:b/>
          <w:bCs/>
          <w:color w:val="212121"/>
        </w:rPr>
        <w:t xml:space="preserve"> </w:t>
      </w:r>
      <w:proofErr w:type="spellStart"/>
      <w:r>
        <w:rPr>
          <w:b/>
          <w:bCs/>
          <w:color w:val="212121"/>
        </w:rPr>
        <w:t>croissant</w:t>
      </w:r>
      <w:proofErr w:type="spellEnd"/>
      <w:r>
        <w:rPr>
          <w:b/>
          <w:bCs/>
          <w:color w:val="212121"/>
        </w:rPr>
        <w:t xml:space="preserve">, </w:t>
      </w:r>
      <w:proofErr w:type="spellStart"/>
      <w:r>
        <w:rPr>
          <w:b/>
          <w:bCs/>
          <w:color w:val="212121"/>
        </w:rPr>
        <w:t>une</w:t>
      </w:r>
      <w:proofErr w:type="spellEnd"/>
      <w:r>
        <w:rPr>
          <w:b/>
          <w:bCs/>
          <w:color w:val="212121"/>
        </w:rPr>
        <w:t xml:space="preserve"> </w:t>
      </w:r>
      <w:proofErr w:type="spellStart"/>
      <w:r>
        <w:rPr>
          <w:b/>
          <w:bCs/>
          <w:color w:val="212121"/>
        </w:rPr>
        <w:t>terminologie</w:t>
      </w:r>
      <w:proofErr w:type="spellEnd"/>
      <w:r>
        <w:rPr>
          <w:b/>
          <w:bCs/>
          <w:color w:val="212121"/>
        </w:rPr>
        <w:t xml:space="preserve"> </w:t>
      </w:r>
      <w:proofErr w:type="spellStart"/>
      <w:r>
        <w:rPr>
          <w:b/>
          <w:bCs/>
          <w:color w:val="212121"/>
        </w:rPr>
        <w:t>enfin</w:t>
      </w:r>
      <w:proofErr w:type="spellEnd"/>
      <w:r>
        <w:rPr>
          <w:b/>
          <w:bCs/>
          <w:color w:val="212121"/>
        </w:rPr>
        <w:t xml:space="preserve"> </w:t>
      </w:r>
      <w:proofErr w:type="spellStart"/>
      <w:r>
        <w:rPr>
          <w:b/>
          <w:bCs/>
          <w:color w:val="212121"/>
        </w:rPr>
        <w:t>lissée</w:t>
      </w:r>
      <w:proofErr w:type="spellEnd"/>
      <w:r>
        <w:rPr>
          <w:b/>
          <w:bCs/>
          <w:color w:val="212121"/>
        </w:rPr>
        <w:t xml:space="preserve">. </w:t>
      </w:r>
    </w:p>
    <w:p w:rsidR="00A77053" w:rsidRDefault="00A77053">
      <w:pPr>
        <w:pStyle w:val="Default"/>
        <w:rPr>
          <w:color w:val="212121"/>
        </w:rPr>
      </w:pPr>
    </w:p>
    <w:p w:rsidR="00A77053" w:rsidRDefault="00972FB1">
      <w:pPr>
        <w:pStyle w:val="Default"/>
        <w:jc w:val="both"/>
        <w:rPr>
          <w:color w:val="212121"/>
          <w:sz w:val="20"/>
          <w:szCs w:val="20"/>
        </w:rPr>
      </w:pPr>
      <w:r>
        <w:rPr>
          <w:color w:val="212121"/>
          <w:sz w:val="20"/>
          <w:szCs w:val="20"/>
        </w:rPr>
        <w:t>En</w:t>
      </w:r>
      <w:r>
        <w:rPr>
          <w:color w:val="212121"/>
          <w:sz w:val="20"/>
          <w:szCs w:val="20"/>
          <w:lang w:val="fr-FR"/>
        </w:rPr>
        <w:t xml:space="preserve"> juin </w:t>
      </w:r>
      <w:r>
        <w:rPr>
          <w:color w:val="212121"/>
          <w:sz w:val="20"/>
          <w:szCs w:val="20"/>
        </w:rPr>
        <w:t xml:space="preserve">de </w:t>
      </w:r>
      <w:proofErr w:type="spellStart"/>
      <w:r>
        <w:rPr>
          <w:color w:val="212121"/>
          <w:sz w:val="20"/>
          <w:szCs w:val="20"/>
        </w:rPr>
        <w:t>cette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année</w:t>
      </w:r>
      <w:proofErr w:type="spellEnd"/>
      <w:r>
        <w:rPr>
          <w:color w:val="212121"/>
          <w:sz w:val="20"/>
          <w:szCs w:val="20"/>
        </w:rPr>
        <w:t>, “ Le R</w:t>
      </w:r>
      <w:proofErr w:type="spellStart"/>
      <w:r>
        <w:rPr>
          <w:color w:val="212121"/>
          <w:sz w:val="20"/>
          <w:szCs w:val="20"/>
          <w:lang w:val="fr-FR"/>
        </w:rPr>
        <w:t>éseau</w:t>
      </w:r>
      <w:proofErr w:type="spellEnd"/>
      <w:r>
        <w:rPr>
          <w:color w:val="212121"/>
          <w:sz w:val="20"/>
          <w:szCs w:val="20"/>
          <w:lang w:val="fr-FR"/>
        </w:rPr>
        <w:t xml:space="preserve"> de recherche sur les comportements sédentaires</w:t>
      </w:r>
      <w:r>
        <w:rPr>
          <w:color w:val="212121"/>
          <w:sz w:val="20"/>
          <w:szCs w:val="20"/>
        </w:rPr>
        <w:t>”</w:t>
      </w:r>
      <w:r>
        <w:rPr>
          <w:color w:val="212121"/>
          <w:sz w:val="20"/>
          <w:szCs w:val="20"/>
          <w:vertAlign w:val="superscript"/>
        </w:rPr>
        <w:footnoteReference w:id="2"/>
      </w:r>
      <w:r>
        <w:rPr>
          <w:color w:val="212121"/>
          <w:sz w:val="20"/>
          <w:szCs w:val="20"/>
        </w:rPr>
        <w:t xml:space="preserve">, </w:t>
      </w:r>
      <w:proofErr w:type="spellStart"/>
      <w:r>
        <w:rPr>
          <w:color w:val="212121"/>
          <w:sz w:val="20"/>
          <w:szCs w:val="20"/>
        </w:rPr>
        <w:t>qui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regroupe</w:t>
      </w:r>
      <w:proofErr w:type="spellEnd"/>
      <w:r>
        <w:rPr>
          <w:color w:val="212121"/>
          <w:sz w:val="20"/>
          <w:szCs w:val="20"/>
        </w:rPr>
        <w:t xml:space="preserve"> 84 </w:t>
      </w:r>
      <w:r>
        <w:rPr>
          <w:color w:val="212121"/>
          <w:sz w:val="20"/>
          <w:szCs w:val="20"/>
          <w:lang w:val="fr-FR"/>
        </w:rPr>
        <w:t>scientifiques</w:t>
      </w:r>
      <w:r>
        <w:rPr>
          <w:color w:val="212121"/>
          <w:sz w:val="20"/>
          <w:szCs w:val="20"/>
        </w:rPr>
        <w:t xml:space="preserve"> de 20 </w:t>
      </w:r>
      <w:proofErr w:type="spellStart"/>
      <w:r>
        <w:rPr>
          <w:color w:val="212121"/>
          <w:sz w:val="20"/>
          <w:szCs w:val="20"/>
        </w:rPr>
        <w:t>pays</w:t>
      </w:r>
      <w:proofErr w:type="spellEnd"/>
      <w:r>
        <w:rPr>
          <w:color w:val="212121"/>
          <w:sz w:val="20"/>
          <w:szCs w:val="20"/>
        </w:rPr>
        <w:t xml:space="preserve">, a </w:t>
      </w:r>
      <w:proofErr w:type="spellStart"/>
      <w:r>
        <w:rPr>
          <w:color w:val="212121"/>
          <w:sz w:val="20"/>
          <w:szCs w:val="20"/>
        </w:rPr>
        <w:t>co-écrit</w:t>
      </w:r>
      <w:proofErr w:type="spellEnd"/>
      <w:r>
        <w:rPr>
          <w:color w:val="212121"/>
          <w:sz w:val="20"/>
          <w:szCs w:val="20"/>
        </w:rPr>
        <w:t xml:space="preserve"> et </w:t>
      </w:r>
      <w:proofErr w:type="spellStart"/>
      <w:r>
        <w:rPr>
          <w:color w:val="212121"/>
          <w:sz w:val="20"/>
          <w:szCs w:val="20"/>
        </w:rPr>
        <w:t>publié</w:t>
      </w:r>
      <w:proofErr w:type="spellEnd"/>
      <w:r>
        <w:rPr>
          <w:color w:val="212121"/>
          <w:sz w:val="20"/>
          <w:szCs w:val="20"/>
        </w:rPr>
        <w:t xml:space="preserve"> en </w:t>
      </w:r>
      <w:proofErr w:type="spellStart"/>
      <w:r>
        <w:rPr>
          <w:color w:val="212121"/>
          <w:sz w:val="20"/>
          <w:szCs w:val="20"/>
        </w:rPr>
        <w:t>ligne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un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référentiel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pour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unifier</w:t>
      </w:r>
      <w:proofErr w:type="spellEnd"/>
      <w:r>
        <w:rPr>
          <w:color w:val="212121"/>
          <w:sz w:val="20"/>
          <w:szCs w:val="20"/>
        </w:rPr>
        <w:t xml:space="preserve"> et </w:t>
      </w:r>
      <w:proofErr w:type="spellStart"/>
      <w:r>
        <w:rPr>
          <w:color w:val="212121"/>
          <w:sz w:val="20"/>
          <w:szCs w:val="20"/>
        </w:rPr>
        <w:t>clarifier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terminologie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dans</w:t>
      </w:r>
      <w:proofErr w:type="spellEnd"/>
      <w:r>
        <w:rPr>
          <w:color w:val="212121"/>
          <w:sz w:val="20"/>
          <w:szCs w:val="20"/>
        </w:rPr>
        <w:t xml:space="preserve"> le </w:t>
      </w:r>
      <w:proofErr w:type="spellStart"/>
      <w:r>
        <w:rPr>
          <w:color w:val="212121"/>
          <w:sz w:val="20"/>
          <w:szCs w:val="20"/>
        </w:rPr>
        <w:t>cadre</w:t>
      </w:r>
      <w:proofErr w:type="spellEnd"/>
      <w:r>
        <w:rPr>
          <w:color w:val="212121"/>
          <w:sz w:val="20"/>
          <w:szCs w:val="20"/>
        </w:rPr>
        <w:t xml:space="preserve"> de</w:t>
      </w:r>
      <w:r>
        <w:rPr>
          <w:color w:val="212121"/>
          <w:sz w:val="20"/>
          <w:szCs w:val="20"/>
          <w:lang w:val="fr-FR"/>
        </w:rPr>
        <w:t xml:space="preserve"> la recherche sur les comportements sédentaires.</w:t>
      </w:r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L’étude</w:t>
      </w:r>
      <w:proofErr w:type="spellEnd"/>
      <w:r>
        <w:rPr>
          <w:color w:val="212121"/>
          <w:sz w:val="20"/>
          <w:szCs w:val="20"/>
        </w:rPr>
        <w:t xml:space="preserve"> a </w:t>
      </w:r>
      <w:proofErr w:type="spellStart"/>
      <w:r>
        <w:rPr>
          <w:color w:val="212121"/>
          <w:sz w:val="20"/>
          <w:szCs w:val="20"/>
        </w:rPr>
        <w:t>été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mené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sous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direction</w:t>
      </w:r>
      <w:proofErr w:type="spellEnd"/>
      <w:r>
        <w:rPr>
          <w:color w:val="212121"/>
          <w:sz w:val="20"/>
          <w:szCs w:val="20"/>
        </w:rPr>
        <w:t xml:space="preserve"> du Dr. Mark Tremblay, </w:t>
      </w:r>
      <w:proofErr w:type="spellStart"/>
      <w:r>
        <w:rPr>
          <w:color w:val="212121"/>
          <w:sz w:val="20"/>
          <w:szCs w:val="20"/>
        </w:rPr>
        <w:t>Directeur</w:t>
      </w:r>
      <w:proofErr w:type="spellEnd"/>
      <w:r>
        <w:rPr>
          <w:color w:val="212121"/>
          <w:sz w:val="20"/>
          <w:szCs w:val="20"/>
        </w:rPr>
        <w:t xml:space="preserve"> de HALO</w:t>
      </w:r>
      <w:r>
        <w:rPr>
          <w:color w:val="212121"/>
          <w:sz w:val="20"/>
          <w:szCs w:val="20"/>
          <w:vertAlign w:val="superscript"/>
        </w:rPr>
        <w:footnoteReference w:id="3"/>
      </w:r>
      <w:r>
        <w:rPr>
          <w:color w:val="212121"/>
          <w:sz w:val="20"/>
          <w:szCs w:val="20"/>
        </w:rPr>
        <w:t xml:space="preserve">, </w:t>
      </w:r>
      <w:proofErr w:type="spellStart"/>
      <w:r>
        <w:rPr>
          <w:color w:val="212121"/>
          <w:sz w:val="20"/>
          <w:szCs w:val="20"/>
        </w:rPr>
        <w:t>un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centre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recherche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sur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vie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active</w:t>
      </w:r>
      <w:proofErr w:type="spellEnd"/>
      <w:r>
        <w:rPr>
          <w:color w:val="212121"/>
          <w:sz w:val="20"/>
          <w:szCs w:val="20"/>
        </w:rPr>
        <w:t xml:space="preserve"> et </w:t>
      </w:r>
      <w:proofErr w:type="spellStart"/>
      <w:r>
        <w:rPr>
          <w:color w:val="212121"/>
          <w:sz w:val="20"/>
          <w:szCs w:val="20"/>
        </w:rPr>
        <w:t>l’obésité</w:t>
      </w:r>
      <w:proofErr w:type="spellEnd"/>
      <w:r>
        <w:rPr>
          <w:color w:val="212121"/>
          <w:sz w:val="20"/>
          <w:szCs w:val="20"/>
        </w:rPr>
        <w:t xml:space="preserve"> au Canada et du </w:t>
      </w:r>
      <w:r>
        <w:rPr>
          <w:color w:val="212121"/>
          <w:sz w:val="20"/>
          <w:szCs w:val="20"/>
          <w:lang w:val="fr-FR"/>
        </w:rPr>
        <w:t>Centre hospitalier pour enfants de l</w:t>
      </w:r>
      <w:r>
        <w:rPr>
          <w:color w:val="212121"/>
          <w:sz w:val="20"/>
          <w:szCs w:val="20"/>
        </w:rPr>
        <w:t>’E</w:t>
      </w:r>
      <w:r>
        <w:rPr>
          <w:color w:val="212121"/>
          <w:sz w:val="20"/>
          <w:szCs w:val="20"/>
          <w:lang w:val="fr-FR"/>
        </w:rPr>
        <w:t>st de l</w:t>
      </w:r>
      <w:r>
        <w:rPr>
          <w:color w:val="212121"/>
          <w:sz w:val="20"/>
          <w:szCs w:val="20"/>
        </w:rPr>
        <w:t>’</w:t>
      </w:r>
      <w:r>
        <w:rPr>
          <w:color w:val="212121"/>
          <w:sz w:val="20"/>
          <w:szCs w:val="20"/>
          <w:lang w:val="it-IT"/>
        </w:rPr>
        <w:t>Ontario</w:t>
      </w:r>
      <w:r>
        <w:rPr>
          <w:color w:val="212121"/>
          <w:sz w:val="20"/>
          <w:szCs w:val="20"/>
        </w:rPr>
        <w:t xml:space="preserve">. </w:t>
      </w:r>
    </w:p>
    <w:p w:rsidR="00A77053" w:rsidRDefault="00A77053">
      <w:pPr>
        <w:pStyle w:val="Default"/>
        <w:jc w:val="both"/>
        <w:rPr>
          <w:color w:val="212121"/>
          <w:sz w:val="20"/>
          <w:szCs w:val="20"/>
        </w:rPr>
      </w:pPr>
    </w:p>
    <w:p w:rsidR="00A77053" w:rsidRDefault="00972FB1">
      <w:pPr>
        <w:pStyle w:val="Default"/>
        <w:jc w:val="both"/>
        <w:rPr>
          <w:color w:val="212121"/>
          <w:sz w:val="20"/>
          <w:szCs w:val="20"/>
        </w:rPr>
      </w:pPr>
      <w:r>
        <w:rPr>
          <w:color w:val="212121"/>
          <w:sz w:val="20"/>
          <w:szCs w:val="20"/>
        </w:rPr>
        <w:t xml:space="preserve">De plus en plus </w:t>
      </w:r>
      <w:proofErr w:type="spellStart"/>
      <w:r>
        <w:rPr>
          <w:color w:val="212121"/>
          <w:sz w:val="20"/>
          <w:szCs w:val="20"/>
        </w:rPr>
        <w:t>d’études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démontrent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un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lien</w:t>
      </w:r>
      <w:proofErr w:type="spellEnd"/>
      <w:r>
        <w:rPr>
          <w:color w:val="212121"/>
          <w:sz w:val="20"/>
          <w:szCs w:val="20"/>
        </w:rPr>
        <w:t xml:space="preserve"> entre </w:t>
      </w:r>
      <w:proofErr w:type="spellStart"/>
      <w:r>
        <w:rPr>
          <w:color w:val="212121"/>
          <w:sz w:val="20"/>
          <w:szCs w:val="20"/>
        </w:rPr>
        <w:t>les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modes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vie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sédentaire</w:t>
      </w:r>
      <w:proofErr w:type="spellEnd"/>
      <w:r>
        <w:rPr>
          <w:color w:val="212121"/>
          <w:sz w:val="20"/>
          <w:szCs w:val="20"/>
        </w:rPr>
        <w:t xml:space="preserve"> et des </w:t>
      </w:r>
      <w:proofErr w:type="spellStart"/>
      <w:r>
        <w:rPr>
          <w:color w:val="212121"/>
          <w:sz w:val="20"/>
          <w:szCs w:val="20"/>
        </w:rPr>
        <w:t>effets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nocifs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sur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santé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entrainant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un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intérêt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grandissant</w:t>
      </w:r>
      <w:proofErr w:type="spellEnd"/>
      <w:r>
        <w:rPr>
          <w:color w:val="212121"/>
          <w:sz w:val="20"/>
          <w:szCs w:val="20"/>
        </w:rPr>
        <w:t xml:space="preserve"> des </w:t>
      </w:r>
      <w:proofErr w:type="spellStart"/>
      <w:r>
        <w:rPr>
          <w:color w:val="212121"/>
          <w:sz w:val="20"/>
          <w:szCs w:val="20"/>
        </w:rPr>
        <w:t>chercheurs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dans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ce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domaine</w:t>
      </w:r>
      <w:proofErr w:type="spellEnd"/>
      <w:r>
        <w:rPr>
          <w:color w:val="212121"/>
          <w:sz w:val="20"/>
          <w:szCs w:val="20"/>
        </w:rPr>
        <w:t xml:space="preserve">. </w:t>
      </w:r>
      <w:proofErr w:type="spellStart"/>
      <w:r>
        <w:rPr>
          <w:color w:val="212121"/>
          <w:sz w:val="20"/>
          <w:szCs w:val="20"/>
        </w:rPr>
        <w:t>Ainsi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l’American</w:t>
      </w:r>
      <w:proofErr w:type="spellEnd"/>
      <w:r>
        <w:rPr>
          <w:color w:val="212121"/>
          <w:sz w:val="20"/>
          <w:szCs w:val="20"/>
        </w:rPr>
        <w:t xml:space="preserve"> Heart </w:t>
      </w:r>
      <w:proofErr w:type="spellStart"/>
      <w:r>
        <w:rPr>
          <w:color w:val="212121"/>
          <w:sz w:val="20"/>
          <w:szCs w:val="20"/>
        </w:rPr>
        <w:t>Association</w:t>
      </w:r>
      <w:proofErr w:type="spellEnd"/>
      <w:r>
        <w:rPr>
          <w:color w:val="212121"/>
          <w:sz w:val="20"/>
          <w:szCs w:val="20"/>
        </w:rPr>
        <w:t xml:space="preserve"> a </w:t>
      </w:r>
      <w:proofErr w:type="spellStart"/>
      <w:r>
        <w:rPr>
          <w:color w:val="212121"/>
          <w:sz w:val="20"/>
          <w:szCs w:val="20"/>
        </w:rPr>
        <w:t>récemment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publié</w:t>
      </w:r>
      <w:proofErr w:type="spellEnd"/>
      <w:r>
        <w:rPr>
          <w:color w:val="212121"/>
          <w:sz w:val="20"/>
          <w:szCs w:val="20"/>
        </w:rPr>
        <w:t xml:space="preserve"> des </w:t>
      </w:r>
      <w:proofErr w:type="spellStart"/>
      <w:r>
        <w:rPr>
          <w:color w:val="212121"/>
          <w:sz w:val="20"/>
          <w:szCs w:val="20"/>
        </w:rPr>
        <w:t>recommendations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scientifiques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comportements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sédentaires</w:t>
      </w:r>
      <w:proofErr w:type="spellEnd"/>
      <w:r>
        <w:rPr>
          <w:sz w:val="20"/>
          <w:szCs w:val="20"/>
        </w:rPr>
        <w:t xml:space="preserve">, la </w:t>
      </w:r>
      <w:proofErr w:type="spellStart"/>
      <w:r>
        <w:rPr>
          <w:sz w:val="20"/>
          <w:szCs w:val="20"/>
        </w:rPr>
        <w:t>morbidité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cardiovasculaire</w:t>
      </w:r>
      <w:proofErr w:type="spellEnd"/>
      <w:r>
        <w:rPr>
          <w:sz w:val="20"/>
          <w:szCs w:val="20"/>
        </w:rPr>
        <w:t xml:space="preserve"> et la </w:t>
      </w:r>
      <w:proofErr w:type="spellStart"/>
      <w:r>
        <w:rPr>
          <w:sz w:val="20"/>
          <w:szCs w:val="20"/>
        </w:rPr>
        <w:t>mortalité</w:t>
      </w:r>
      <w:proofErr w:type="spellEnd"/>
      <w:r>
        <w:rPr>
          <w:sz w:val="20"/>
          <w:szCs w:val="20"/>
          <w:vertAlign w:val="superscript"/>
        </w:rPr>
        <w:footnoteReference w:id="4"/>
      </w:r>
      <w:r>
        <w:rPr>
          <w:sz w:val="20"/>
          <w:szCs w:val="20"/>
        </w:rPr>
        <w:t xml:space="preserve">. </w:t>
      </w:r>
      <w:proofErr w:type="spellStart"/>
      <w:r>
        <w:rPr>
          <w:color w:val="212121"/>
          <w:sz w:val="20"/>
          <w:szCs w:val="20"/>
        </w:rPr>
        <w:t>Or</w:t>
      </w:r>
      <w:proofErr w:type="spellEnd"/>
      <w:r>
        <w:rPr>
          <w:color w:val="212121"/>
          <w:sz w:val="20"/>
          <w:szCs w:val="20"/>
        </w:rPr>
        <w:t xml:space="preserve">, </w:t>
      </w:r>
      <w:proofErr w:type="spellStart"/>
      <w:r>
        <w:rPr>
          <w:color w:val="212121"/>
          <w:sz w:val="20"/>
          <w:szCs w:val="20"/>
        </w:rPr>
        <w:t>un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volume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exponentiel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recherche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sur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sédentarité</w:t>
      </w:r>
      <w:proofErr w:type="spellEnd"/>
      <w:r>
        <w:rPr>
          <w:color w:val="212121"/>
          <w:sz w:val="20"/>
          <w:szCs w:val="20"/>
        </w:rPr>
        <w:t xml:space="preserve"> a </w:t>
      </w:r>
      <w:proofErr w:type="spellStart"/>
      <w:r>
        <w:rPr>
          <w:color w:val="212121"/>
          <w:sz w:val="20"/>
          <w:szCs w:val="20"/>
        </w:rPr>
        <w:t>engendré</w:t>
      </w:r>
      <w:proofErr w:type="spellEnd"/>
      <w:r>
        <w:rPr>
          <w:color w:val="212121"/>
          <w:sz w:val="20"/>
          <w:szCs w:val="20"/>
        </w:rPr>
        <w:t xml:space="preserve"> des </w:t>
      </w:r>
      <w:proofErr w:type="spellStart"/>
      <w:r>
        <w:rPr>
          <w:color w:val="212121"/>
          <w:sz w:val="20"/>
          <w:szCs w:val="20"/>
        </w:rPr>
        <w:t>confusions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sur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l’utilisation</w:t>
      </w:r>
      <w:proofErr w:type="spellEnd"/>
      <w:r>
        <w:rPr>
          <w:color w:val="212121"/>
          <w:sz w:val="20"/>
          <w:szCs w:val="20"/>
        </w:rPr>
        <w:t xml:space="preserve"> des </w:t>
      </w:r>
      <w:proofErr w:type="spellStart"/>
      <w:r>
        <w:rPr>
          <w:color w:val="212121"/>
          <w:sz w:val="20"/>
          <w:szCs w:val="20"/>
        </w:rPr>
        <w:t>termes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spécifiques</w:t>
      </w:r>
      <w:proofErr w:type="spellEnd"/>
      <w:r>
        <w:rPr>
          <w:color w:val="212121"/>
          <w:sz w:val="20"/>
          <w:szCs w:val="20"/>
        </w:rPr>
        <w:t xml:space="preserve">, </w:t>
      </w:r>
      <w:proofErr w:type="spellStart"/>
      <w:r>
        <w:rPr>
          <w:color w:val="212121"/>
          <w:sz w:val="20"/>
          <w:szCs w:val="20"/>
        </w:rPr>
        <w:t>tels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que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l’inactivité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physique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ou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sédentarité</w:t>
      </w:r>
      <w:proofErr w:type="spellEnd"/>
      <w:r>
        <w:rPr>
          <w:color w:val="212121"/>
          <w:sz w:val="20"/>
          <w:szCs w:val="20"/>
        </w:rPr>
        <w:t xml:space="preserve">. De </w:t>
      </w:r>
      <w:proofErr w:type="spellStart"/>
      <w:r>
        <w:rPr>
          <w:color w:val="212121"/>
          <w:sz w:val="20"/>
          <w:szCs w:val="20"/>
        </w:rPr>
        <w:t>ce</w:t>
      </w:r>
      <w:proofErr w:type="spellEnd"/>
      <w:r>
        <w:rPr>
          <w:color w:val="212121"/>
          <w:sz w:val="20"/>
          <w:szCs w:val="20"/>
        </w:rPr>
        <w:t xml:space="preserve"> fait, le </w:t>
      </w:r>
      <w:proofErr w:type="spellStart"/>
      <w:r>
        <w:rPr>
          <w:color w:val="212121"/>
          <w:sz w:val="20"/>
          <w:szCs w:val="20"/>
        </w:rPr>
        <w:t>besoin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d’un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accord</w:t>
      </w:r>
      <w:proofErr w:type="spellEnd"/>
      <w:r>
        <w:rPr>
          <w:color w:val="212121"/>
          <w:sz w:val="20"/>
          <w:szCs w:val="20"/>
        </w:rPr>
        <w:t xml:space="preserve"> commun </w:t>
      </w:r>
      <w:proofErr w:type="spellStart"/>
      <w:r>
        <w:rPr>
          <w:color w:val="212121"/>
          <w:sz w:val="20"/>
          <w:szCs w:val="20"/>
        </w:rPr>
        <w:t>sur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ces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définitions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est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devenu</w:t>
      </w:r>
      <w:proofErr w:type="spellEnd"/>
      <w:r>
        <w:rPr>
          <w:color w:val="212121"/>
          <w:sz w:val="20"/>
          <w:szCs w:val="20"/>
        </w:rPr>
        <w:t xml:space="preserve"> urgent et </w:t>
      </w:r>
      <w:proofErr w:type="spellStart"/>
      <w:r>
        <w:rPr>
          <w:color w:val="212121"/>
          <w:sz w:val="20"/>
          <w:szCs w:val="20"/>
        </w:rPr>
        <w:t>les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résultats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cette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étude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qui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s’intitule</w:t>
      </w:r>
      <w:proofErr w:type="spellEnd"/>
      <w:r>
        <w:rPr>
          <w:color w:val="212121"/>
          <w:sz w:val="20"/>
          <w:szCs w:val="20"/>
        </w:rPr>
        <w:t xml:space="preserve"> “</w:t>
      </w:r>
      <w:proofErr w:type="spellStart"/>
      <w:r>
        <w:rPr>
          <w:color w:val="212121"/>
          <w:sz w:val="20"/>
          <w:szCs w:val="20"/>
        </w:rPr>
        <w:t>Projet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consensus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sur</w:t>
      </w:r>
      <w:proofErr w:type="spellEnd"/>
      <w:r>
        <w:rPr>
          <w:color w:val="212121"/>
          <w:sz w:val="20"/>
          <w:szCs w:val="20"/>
        </w:rPr>
        <w:t xml:space="preserve"> la </w:t>
      </w:r>
      <w:proofErr w:type="spellStart"/>
      <w:r>
        <w:rPr>
          <w:color w:val="212121"/>
          <w:sz w:val="20"/>
          <w:szCs w:val="20"/>
        </w:rPr>
        <w:t>terminologie</w:t>
      </w:r>
      <w:proofErr w:type="spellEnd"/>
      <w:r>
        <w:rPr>
          <w:color w:val="212121"/>
          <w:sz w:val="20"/>
          <w:szCs w:val="20"/>
        </w:rPr>
        <w:t xml:space="preserve">, </w:t>
      </w:r>
      <w:proofErr w:type="spellStart"/>
      <w:r>
        <w:rPr>
          <w:color w:val="212121"/>
          <w:sz w:val="20"/>
          <w:szCs w:val="20"/>
        </w:rPr>
        <w:t>procédures</w:t>
      </w:r>
      <w:proofErr w:type="spellEnd"/>
      <w:r>
        <w:rPr>
          <w:color w:val="212121"/>
          <w:sz w:val="20"/>
          <w:szCs w:val="20"/>
        </w:rPr>
        <w:t xml:space="preserve"> et </w:t>
      </w:r>
      <w:proofErr w:type="spellStart"/>
      <w:r>
        <w:rPr>
          <w:color w:val="212121"/>
          <w:sz w:val="20"/>
          <w:szCs w:val="20"/>
        </w:rPr>
        <w:t>résultats</w:t>
      </w:r>
      <w:proofErr w:type="spellEnd"/>
      <w:r>
        <w:rPr>
          <w:color w:val="212121"/>
          <w:sz w:val="20"/>
          <w:szCs w:val="20"/>
        </w:rPr>
        <w:t xml:space="preserve"> “</w:t>
      </w:r>
      <w:r>
        <w:rPr>
          <w:color w:val="212121"/>
          <w:sz w:val="20"/>
          <w:szCs w:val="20"/>
          <w:vertAlign w:val="superscript"/>
        </w:rPr>
        <w:footnoteReference w:id="5"/>
      </w:r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répond</w:t>
      </w:r>
      <w:proofErr w:type="spellEnd"/>
      <w:r>
        <w:rPr>
          <w:color w:val="212121"/>
          <w:sz w:val="20"/>
          <w:szCs w:val="20"/>
        </w:rPr>
        <w:t xml:space="preserve"> à </w:t>
      </w:r>
      <w:proofErr w:type="spellStart"/>
      <w:r>
        <w:rPr>
          <w:color w:val="212121"/>
          <w:sz w:val="20"/>
          <w:szCs w:val="20"/>
        </w:rPr>
        <w:t>cette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demande</w:t>
      </w:r>
      <w:proofErr w:type="spellEnd"/>
      <w:r>
        <w:rPr>
          <w:color w:val="212121"/>
          <w:sz w:val="20"/>
          <w:szCs w:val="20"/>
        </w:rPr>
        <w:t xml:space="preserve">. Le </w:t>
      </w:r>
      <w:proofErr w:type="spellStart"/>
      <w:r>
        <w:rPr>
          <w:color w:val="212121"/>
          <w:sz w:val="20"/>
          <w:szCs w:val="20"/>
        </w:rPr>
        <w:t>réseau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recherche</w:t>
      </w:r>
      <w:proofErr w:type="spellEnd"/>
      <w:r>
        <w:rPr>
          <w:color w:val="212121"/>
          <w:sz w:val="20"/>
          <w:szCs w:val="20"/>
        </w:rPr>
        <w:t xml:space="preserve"> a </w:t>
      </w:r>
      <w:proofErr w:type="spellStart"/>
      <w:r>
        <w:rPr>
          <w:color w:val="212121"/>
          <w:sz w:val="20"/>
          <w:szCs w:val="20"/>
        </w:rPr>
        <w:t>publié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cette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étude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dans</w:t>
      </w:r>
      <w:proofErr w:type="spellEnd"/>
      <w:r>
        <w:rPr>
          <w:color w:val="212121"/>
          <w:sz w:val="20"/>
          <w:szCs w:val="20"/>
        </w:rPr>
        <w:t xml:space="preserve"> </w:t>
      </w:r>
      <w:r>
        <w:rPr>
          <w:i/>
          <w:iCs/>
          <w:color w:val="212121"/>
          <w:sz w:val="20"/>
          <w:szCs w:val="20"/>
        </w:rPr>
        <w:t xml:space="preserve">Journal international de la </w:t>
      </w:r>
      <w:proofErr w:type="spellStart"/>
      <w:r>
        <w:rPr>
          <w:i/>
          <w:iCs/>
          <w:color w:val="212121"/>
          <w:sz w:val="20"/>
          <w:szCs w:val="20"/>
        </w:rPr>
        <w:t>nutrition</w:t>
      </w:r>
      <w:proofErr w:type="spellEnd"/>
      <w:r>
        <w:rPr>
          <w:i/>
          <w:iCs/>
          <w:color w:val="212121"/>
          <w:sz w:val="20"/>
          <w:szCs w:val="20"/>
        </w:rPr>
        <w:t xml:space="preserve"> </w:t>
      </w:r>
      <w:proofErr w:type="spellStart"/>
      <w:r>
        <w:rPr>
          <w:i/>
          <w:iCs/>
          <w:color w:val="212121"/>
          <w:sz w:val="20"/>
          <w:szCs w:val="20"/>
        </w:rPr>
        <w:t>comportementale</w:t>
      </w:r>
      <w:proofErr w:type="spellEnd"/>
      <w:r>
        <w:rPr>
          <w:i/>
          <w:iCs/>
          <w:color w:val="212121"/>
          <w:sz w:val="20"/>
          <w:szCs w:val="20"/>
        </w:rPr>
        <w:t xml:space="preserve"> et de </w:t>
      </w:r>
      <w:proofErr w:type="spellStart"/>
      <w:r>
        <w:rPr>
          <w:i/>
          <w:iCs/>
          <w:color w:val="212121"/>
          <w:sz w:val="20"/>
          <w:szCs w:val="20"/>
        </w:rPr>
        <w:t>l’activité</w:t>
      </w:r>
      <w:proofErr w:type="spellEnd"/>
      <w:r>
        <w:rPr>
          <w:i/>
          <w:iCs/>
          <w:color w:val="212121"/>
          <w:sz w:val="20"/>
          <w:szCs w:val="20"/>
        </w:rPr>
        <w:t xml:space="preserve"> </w:t>
      </w:r>
      <w:proofErr w:type="spellStart"/>
      <w:r>
        <w:rPr>
          <w:i/>
          <w:iCs/>
          <w:color w:val="212121"/>
          <w:sz w:val="20"/>
          <w:szCs w:val="20"/>
        </w:rPr>
        <w:t>physique</w:t>
      </w:r>
      <w:proofErr w:type="spellEnd"/>
      <w:r>
        <w:rPr>
          <w:i/>
          <w:iCs/>
          <w:color w:val="212121"/>
          <w:sz w:val="20"/>
          <w:szCs w:val="20"/>
          <w:vertAlign w:val="superscript"/>
        </w:rPr>
        <w:footnoteReference w:id="6"/>
      </w:r>
      <w:r>
        <w:rPr>
          <w:i/>
          <w:iCs/>
          <w:color w:val="212121"/>
          <w:sz w:val="20"/>
          <w:szCs w:val="20"/>
        </w:rPr>
        <w:t xml:space="preserve">. </w:t>
      </w:r>
      <w:r>
        <w:rPr>
          <w:color w:val="212121"/>
          <w:sz w:val="20"/>
          <w:szCs w:val="20"/>
        </w:rPr>
        <w:t>M.</w:t>
      </w:r>
      <w:r>
        <w:rPr>
          <w:color w:val="212121"/>
          <w:sz w:val="20"/>
          <w:szCs w:val="20"/>
          <w:lang w:val="fr-FR"/>
        </w:rPr>
        <w:t xml:space="preserve"> Tremblay </w:t>
      </w:r>
      <w:proofErr w:type="spellStart"/>
      <w:r>
        <w:rPr>
          <w:color w:val="212121"/>
          <w:sz w:val="20"/>
          <w:szCs w:val="20"/>
        </w:rPr>
        <w:t>espère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ainsi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faciliter</w:t>
      </w:r>
      <w:proofErr w:type="spellEnd"/>
      <w:r>
        <w:rPr>
          <w:color w:val="212121"/>
          <w:sz w:val="20"/>
          <w:szCs w:val="20"/>
        </w:rPr>
        <w:t xml:space="preserve"> de </w:t>
      </w:r>
      <w:proofErr w:type="spellStart"/>
      <w:r>
        <w:rPr>
          <w:color w:val="212121"/>
          <w:sz w:val="20"/>
          <w:szCs w:val="20"/>
        </w:rPr>
        <w:t>futures</w:t>
      </w:r>
      <w:proofErr w:type="spellEnd"/>
      <w:r>
        <w:rPr>
          <w:color w:val="212121"/>
          <w:sz w:val="20"/>
          <w:szCs w:val="20"/>
        </w:rPr>
        <w:t xml:space="preserve"> </w:t>
      </w:r>
      <w:proofErr w:type="spellStart"/>
      <w:r>
        <w:rPr>
          <w:color w:val="212121"/>
          <w:sz w:val="20"/>
          <w:szCs w:val="20"/>
        </w:rPr>
        <w:t>recherches</w:t>
      </w:r>
      <w:proofErr w:type="spellEnd"/>
      <w:r>
        <w:rPr>
          <w:color w:val="212121"/>
          <w:sz w:val="20"/>
          <w:szCs w:val="20"/>
        </w:rPr>
        <w:t xml:space="preserve"> et </w:t>
      </w:r>
      <w:proofErr w:type="spellStart"/>
      <w:r>
        <w:rPr>
          <w:color w:val="212121"/>
          <w:sz w:val="20"/>
          <w:szCs w:val="20"/>
        </w:rPr>
        <w:t>pr</w:t>
      </w:r>
      <w:r>
        <w:rPr>
          <w:color w:val="212121"/>
          <w:sz w:val="20"/>
          <w:szCs w:val="20"/>
          <w:lang w:val="fr-FR"/>
        </w:rPr>
        <w:t>écise</w:t>
      </w:r>
      <w:proofErr w:type="spellEnd"/>
      <w:r>
        <w:rPr>
          <w:color w:val="212121"/>
          <w:sz w:val="20"/>
          <w:szCs w:val="20"/>
          <w:lang w:val="fr-FR"/>
        </w:rPr>
        <w:t xml:space="preserve"> qu’«il s'agit à ce jour de l</w:t>
      </w:r>
      <w:r>
        <w:rPr>
          <w:color w:val="212121"/>
          <w:sz w:val="20"/>
          <w:szCs w:val="20"/>
        </w:rPr>
        <w:t>’</w:t>
      </w:r>
      <w:r>
        <w:rPr>
          <w:color w:val="212121"/>
          <w:sz w:val="20"/>
          <w:szCs w:val="20"/>
          <w:lang w:val="fr-FR"/>
        </w:rPr>
        <w:t xml:space="preserve">accord le plus important en terme de consensus sur la terminologie sur les comportements sédentaires, une priorité </w:t>
      </w:r>
      <w:r>
        <w:rPr>
          <w:color w:val="212121"/>
          <w:sz w:val="20"/>
          <w:szCs w:val="20"/>
          <w:lang w:val="it-IT"/>
        </w:rPr>
        <w:t xml:space="preserve">mondiale </w:t>
      </w:r>
      <w:r>
        <w:rPr>
          <w:color w:val="212121"/>
          <w:sz w:val="20"/>
          <w:szCs w:val="20"/>
          <w:lang w:val="fr-FR"/>
        </w:rPr>
        <w:t>émergente dans la santé publique</w:t>
      </w:r>
      <w:r>
        <w:rPr>
          <w:color w:val="212121"/>
          <w:sz w:val="20"/>
          <w:szCs w:val="20"/>
          <w:lang w:val="it-IT"/>
        </w:rPr>
        <w:t>»</w:t>
      </w:r>
      <w:r>
        <w:rPr>
          <w:color w:val="212121"/>
          <w:sz w:val="20"/>
          <w:szCs w:val="20"/>
        </w:rPr>
        <w:t>.</w:t>
      </w:r>
    </w:p>
    <w:p w:rsidR="00A77053" w:rsidRDefault="00A77053">
      <w:pPr>
        <w:pStyle w:val="Body"/>
        <w:jc w:val="both"/>
        <w:rPr>
          <w:sz w:val="20"/>
          <w:szCs w:val="20"/>
        </w:rPr>
      </w:pPr>
    </w:p>
    <w:p w:rsidR="00A77053" w:rsidRDefault="00972FB1">
      <w:pPr>
        <w:pStyle w:val="Body"/>
        <w:jc w:val="both"/>
        <w:rPr>
          <w:sz w:val="20"/>
          <w:szCs w:val="20"/>
        </w:rPr>
      </w:pPr>
      <w:proofErr w:type="spellStart"/>
      <w:r>
        <w:rPr>
          <w:sz w:val="20"/>
          <w:szCs w:val="20"/>
          <w:lang w:val="de-DE"/>
        </w:rPr>
        <w:t>Les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résultats</w:t>
      </w:r>
      <w:proofErr w:type="spellEnd"/>
      <w:r>
        <w:rPr>
          <w:sz w:val="20"/>
          <w:szCs w:val="20"/>
          <w:lang w:val="de-DE"/>
        </w:rPr>
        <w:t xml:space="preserve"> de </w:t>
      </w:r>
      <w:proofErr w:type="spellStart"/>
      <w:r>
        <w:rPr>
          <w:sz w:val="20"/>
          <w:szCs w:val="20"/>
          <w:lang w:val="de-DE"/>
        </w:rPr>
        <w:t>cette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recherche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offrent</w:t>
      </w:r>
      <w:proofErr w:type="spellEnd"/>
      <w:r>
        <w:rPr>
          <w:sz w:val="20"/>
          <w:szCs w:val="20"/>
          <w:lang w:val="de-DE"/>
        </w:rPr>
        <w:t xml:space="preserve"> des </w:t>
      </w:r>
      <w:proofErr w:type="spellStart"/>
      <w:r>
        <w:rPr>
          <w:sz w:val="20"/>
          <w:szCs w:val="20"/>
          <w:lang w:val="de-DE"/>
        </w:rPr>
        <w:t>définitions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claires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qui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sont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différenciés</w:t>
      </w:r>
      <w:proofErr w:type="spellEnd"/>
      <w:r>
        <w:rPr>
          <w:sz w:val="20"/>
          <w:szCs w:val="20"/>
          <w:lang w:val="de-DE"/>
        </w:rPr>
        <w:t xml:space="preserve"> par </w:t>
      </w:r>
      <w:proofErr w:type="spellStart"/>
      <w:r>
        <w:rPr>
          <w:sz w:val="20"/>
          <w:szCs w:val="20"/>
          <w:lang w:val="de-DE"/>
        </w:rPr>
        <w:t>groupe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d’âge</w:t>
      </w:r>
      <w:proofErr w:type="spellEnd"/>
      <w:r>
        <w:rPr>
          <w:sz w:val="20"/>
          <w:szCs w:val="20"/>
          <w:lang w:val="de-DE"/>
        </w:rPr>
        <w:t xml:space="preserve"> et de </w:t>
      </w:r>
      <w:proofErr w:type="spellStart"/>
      <w:r>
        <w:rPr>
          <w:sz w:val="20"/>
          <w:szCs w:val="20"/>
          <w:lang w:val="de-DE"/>
        </w:rPr>
        <w:t>comportements</w:t>
      </w:r>
      <w:proofErr w:type="spellEnd"/>
      <w:r>
        <w:rPr>
          <w:sz w:val="20"/>
          <w:szCs w:val="20"/>
          <w:lang w:val="de-DE"/>
        </w:rPr>
        <w:t xml:space="preserve">. Des </w:t>
      </w:r>
      <w:proofErr w:type="spellStart"/>
      <w:r>
        <w:rPr>
          <w:sz w:val="20"/>
          <w:szCs w:val="20"/>
          <w:lang w:val="de-DE"/>
        </w:rPr>
        <w:t>différenciations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sont</w:t>
      </w:r>
      <w:proofErr w:type="spellEnd"/>
      <w:r>
        <w:rPr>
          <w:sz w:val="20"/>
          <w:szCs w:val="20"/>
          <w:lang w:val="de-DE"/>
        </w:rPr>
        <w:t xml:space="preserve"> par exemple </w:t>
      </w:r>
      <w:proofErr w:type="spellStart"/>
      <w:r>
        <w:rPr>
          <w:sz w:val="20"/>
          <w:szCs w:val="20"/>
          <w:lang w:val="de-DE"/>
        </w:rPr>
        <w:t>faite</w:t>
      </w:r>
      <w:r w:rsidR="007E5A60">
        <w:rPr>
          <w:sz w:val="20"/>
          <w:szCs w:val="20"/>
          <w:lang w:val="de-DE"/>
        </w:rPr>
        <w:t>s</w:t>
      </w:r>
      <w:proofErr w:type="spellEnd"/>
      <w:r>
        <w:rPr>
          <w:sz w:val="20"/>
          <w:szCs w:val="20"/>
          <w:lang w:val="de-DE"/>
        </w:rPr>
        <w:t xml:space="preserve"> entre le </w:t>
      </w:r>
      <w:proofErr w:type="spellStart"/>
      <w:r>
        <w:rPr>
          <w:sz w:val="20"/>
          <w:szCs w:val="20"/>
          <w:lang w:val="de-DE"/>
        </w:rPr>
        <w:t>repos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actif</w:t>
      </w:r>
      <w:proofErr w:type="spellEnd"/>
      <w:r>
        <w:rPr>
          <w:sz w:val="20"/>
          <w:szCs w:val="20"/>
          <w:lang w:val="de-DE"/>
        </w:rPr>
        <w:t xml:space="preserve"> et </w:t>
      </w:r>
      <w:proofErr w:type="spellStart"/>
      <w:r>
        <w:rPr>
          <w:sz w:val="20"/>
          <w:szCs w:val="20"/>
          <w:lang w:val="de-DE"/>
        </w:rPr>
        <w:t>passif</w:t>
      </w:r>
      <w:proofErr w:type="spellEnd"/>
      <w:r>
        <w:rPr>
          <w:sz w:val="20"/>
          <w:szCs w:val="20"/>
          <w:lang w:val="de-DE"/>
        </w:rPr>
        <w:t xml:space="preserve">, le </w:t>
      </w:r>
      <w:proofErr w:type="spellStart"/>
      <w:r>
        <w:rPr>
          <w:sz w:val="20"/>
          <w:szCs w:val="20"/>
          <w:lang w:val="de-DE"/>
        </w:rPr>
        <w:t>comportement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sédentaire</w:t>
      </w:r>
      <w:proofErr w:type="spellEnd"/>
      <w:r>
        <w:rPr>
          <w:sz w:val="20"/>
          <w:szCs w:val="20"/>
          <w:lang w:val="de-DE"/>
        </w:rPr>
        <w:t xml:space="preserve"> et </w:t>
      </w:r>
      <w:proofErr w:type="spellStart"/>
      <w:r>
        <w:rPr>
          <w:sz w:val="20"/>
          <w:szCs w:val="20"/>
          <w:lang w:val="de-DE"/>
        </w:rPr>
        <w:t>stationnaire</w:t>
      </w:r>
      <w:proofErr w:type="spellEnd"/>
      <w:r>
        <w:rPr>
          <w:sz w:val="20"/>
          <w:szCs w:val="20"/>
          <w:lang w:val="de-DE"/>
        </w:rPr>
        <w:t xml:space="preserve"> de </w:t>
      </w:r>
      <w:proofErr w:type="spellStart"/>
      <w:r>
        <w:rPr>
          <w:sz w:val="20"/>
          <w:szCs w:val="20"/>
          <w:lang w:val="de-DE"/>
        </w:rPr>
        <w:t>manière</w:t>
      </w:r>
      <w:proofErr w:type="spellEnd"/>
      <w:r>
        <w:rPr>
          <w:sz w:val="20"/>
          <w:szCs w:val="20"/>
          <w:lang w:val="de-DE"/>
        </w:rPr>
        <w:t xml:space="preserve"> à </w:t>
      </w:r>
      <w:proofErr w:type="spellStart"/>
      <w:r>
        <w:rPr>
          <w:sz w:val="20"/>
          <w:szCs w:val="20"/>
          <w:lang w:val="de-DE"/>
        </w:rPr>
        <w:t>pouvoir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categoriser</w:t>
      </w:r>
      <w:proofErr w:type="spellEnd"/>
      <w:r>
        <w:rPr>
          <w:sz w:val="20"/>
          <w:szCs w:val="20"/>
          <w:lang w:val="de-DE"/>
        </w:rPr>
        <w:t xml:space="preserve"> et </w:t>
      </w:r>
      <w:proofErr w:type="spellStart"/>
      <w:r>
        <w:rPr>
          <w:sz w:val="20"/>
          <w:szCs w:val="20"/>
          <w:lang w:val="de-DE"/>
        </w:rPr>
        <w:t>définir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tout</w:t>
      </w:r>
      <w:proofErr w:type="spellEnd"/>
      <w:r>
        <w:rPr>
          <w:sz w:val="20"/>
          <w:szCs w:val="20"/>
          <w:lang w:val="de-DE"/>
        </w:rPr>
        <w:t xml:space="preserve"> type de </w:t>
      </w:r>
      <w:proofErr w:type="spellStart"/>
      <w:r>
        <w:rPr>
          <w:sz w:val="20"/>
          <w:szCs w:val="20"/>
          <w:lang w:val="de-DE"/>
        </w:rPr>
        <w:t>mouvement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ou</w:t>
      </w:r>
      <w:proofErr w:type="spellEnd"/>
      <w:r>
        <w:rPr>
          <w:sz w:val="20"/>
          <w:szCs w:val="20"/>
          <w:lang w:val="de-DE"/>
        </w:rPr>
        <w:t xml:space="preserve"> de non-</w:t>
      </w:r>
      <w:proofErr w:type="spellStart"/>
      <w:r>
        <w:rPr>
          <w:sz w:val="20"/>
          <w:szCs w:val="20"/>
          <w:lang w:val="de-DE"/>
        </w:rPr>
        <w:t>mo</w:t>
      </w:r>
      <w:r w:rsidR="007E5A60">
        <w:rPr>
          <w:sz w:val="20"/>
          <w:szCs w:val="20"/>
          <w:lang w:val="de-DE"/>
        </w:rPr>
        <w:t>u</w:t>
      </w:r>
      <w:r>
        <w:rPr>
          <w:sz w:val="20"/>
          <w:szCs w:val="20"/>
          <w:lang w:val="de-DE"/>
        </w:rPr>
        <w:t>vement</w:t>
      </w:r>
      <w:proofErr w:type="spellEnd"/>
      <w:r>
        <w:rPr>
          <w:sz w:val="20"/>
          <w:szCs w:val="20"/>
          <w:lang w:val="de-DE"/>
        </w:rPr>
        <w:t xml:space="preserve">. </w:t>
      </w:r>
      <w:proofErr w:type="spellStart"/>
      <w:r>
        <w:rPr>
          <w:sz w:val="20"/>
          <w:szCs w:val="20"/>
          <w:lang w:val="de-DE"/>
        </w:rPr>
        <w:t>Les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definitions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générales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sont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détaillées</w:t>
      </w:r>
      <w:proofErr w:type="spellEnd"/>
      <w:r>
        <w:rPr>
          <w:sz w:val="20"/>
          <w:szCs w:val="20"/>
          <w:lang w:val="de-DE"/>
        </w:rPr>
        <w:t xml:space="preserve"> ci-dessous. Pour </w:t>
      </w:r>
      <w:proofErr w:type="spellStart"/>
      <w:r>
        <w:rPr>
          <w:sz w:val="20"/>
          <w:szCs w:val="20"/>
          <w:lang w:val="de-DE"/>
        </w:rPr>
        <w:t>les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définitions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complètes</w:t>
      </w:r>
      <w:proofErr w:type="spellEnd"/>
      <w:r>
        <w:rPr>
          <w:sz w:val="20"/>
          <w:szCs w:val="20"/>
          <w:lang w:val="de-DE"/>
        </w:rPr>
        <w:t xml:space="preserve">, je </w:t>
      </w:r>
      <w:proofErr w:type="spellStart"/>
      <w:r>
        <w:rPr>
          <w:sz w:val="20"/>
          <w:szCs w:val="20"/>
          <w:lang w:val="de-DE"/>
        </w:rPr>
        <w:t>vous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invite</w:t>
      </w:r>
      <w:proofErr w:type="spellEnd"/>
      <w:r>
        <w:rPr>
          <w:sz w:val="20"/>
          <w:szCs w:val="20"/>
          <w:lang w:val="de-DE"/>
        </w:rPr>
        <w:t xml:space="preserve"> à </w:t>
      </w:r>
      <w:proofErr w:type="spellStart"/>
      <w:r>
        <w:rPr>
          <w:sz w:val="20"/>
          <w:szCs w:val="20"/>
          <w:lang w:val="de-DE"/>
        </w:rPr>
        <w:t>consulter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les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résultats</w:t>
      </w:r>
      <w:proofErr w:type="spellEnd"/>
      <w:r>
        <w:rPr>
          <w:sz w:val="20"/>
          <w:szCs w:val="20"/>
          <w:lang w:val="de-DE"/>
        </w:rPr>
        <w:t xml:space="preserve"> de </w:t>
      </w:r>
      <w:proofErr w:type="spellStart"/>
      <w:r>
        <w:rPr>
          <w:sz w:val="20"/>
          <w:szCs w:val="20"/>
          <w:lang w:val="de-DE"/>
        </w:rPr>
        <w:t>recherche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accessible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gratuitement</w:t>
      </w:r>
      <w:proofErr w:type="spellEnd"/>
      <w:r>
        <w:rPr>
          <w:sz w:val="20"/>
          <w:szCs w:val="20"/>
          <w:lang w:val="de-DE"/>
        </w:rPr>
        <w:t xml:space="preserve"> en </w:t>
      </w:r>
      <w:proofErr w:type="spellStart"/>
      <w:r>
        <w:rPr>
          <w:sz w:val="20"/>
          <w:szCs w:val="20"/>
          <w:lang w:val="de-DE"/>
        </w:rPr>
        <w:t>ligne</w:t>
      </w:r>
      <w:proofErr w:type="spellEnd"/>
      <w:r>
        <w:rPr>
          <w:sz w:val="20"/>
          <w:szCs w:val="20"/>
          <w:vertAlign w:val="superscript"/>
        </w:rPr>
        <w:footnoteReference w:id="7"/>
      </w:r>
      <w:r>
        <w:rPr>
          <w:sz w:val="20"/>
          <w:szCs w:val="20"/>
          <w:lang w:val="de-DE"/>
        </w:rPr>
        <w:t xml:space="preserve">. </w:t>
      </w:r>
    </w:p>
    <w:p w:rsidR="00A77053" w:rsidRDefault="00A77053">
      <w:pPr>
        <w:pStyle w:val="Body"/>
        <w:jc w:val="both"/>
        <w:rPr>
          <w:sz w:val="20"/>
          <w:szCs w:val="20"/>
        </w:rPr>
      </w:pPr>
    </w:p>
    <w:p w:rsidR="00A77053" w:rsidRDefault="00A77053">
      <w:pPr>
        <w:pStyle w:val="Body"/>
        <w:jc w:val="both"/>
        <w:rPr>
          <w:sz w:val="20"/>
          <w:szCs w:val="20"/>
        </w:rPr>
      </w:pPr>
    </w:p>
    <w:p w:rsidR="00A77053" w:rsidRDefault="00A77053">
      <w:pPr>
        <w:pStyle w:val="Body"/>
        <w:jc w:val="both"/>
        <w:rPr>
          <w:sz w:val="20"/>
          <w:szCs w:val="2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7575"/>
      </w:tblGrid>
      <w:tr w:rsidR="00A77053">
        <w:trPr>
          <w:trHeight w:val="279"/>
        </w:trPr>
        <w:tc>
          <w:tcPr>
            <w:tcW w:w="205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 xml:space="preserve">Terme </w:t>
            </w:r>
          </w:p>
        </w:tc>
        <w:tc>
          <w:tcPr>
            <w:tcW w:w="75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 xml:space="preserve">Définition générale </w:t>
            </w:r>
          </w:p>
        </w:tc>
      </w:tr>
      <w:tr w:rsidR="00A77053">
        <w:trPr>
          <w:trHeight w:val="48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  <w:numPr>
                <w:ilvl w:val="0"/>
                <w:numId w:val="1"/>
              </w:numPr>
              <w:rPr>
                <w:b/>
                <w:bCs/>
                <w:lang w:val="de-DE"/>
              </w:rPr>
            </w:pPr>
            <w:proofErr w:type="spellStart"/>
            <w:r>
              <w:rPr>
                <w:b/>
                <w:bCs/>
                <w:lang w:val="de-DE"/>
              </w:rPr>
              <w:t>Inactivité</w:t>
            </w:r>
            <w:proofErr w:type="spellEnd"/>
            <w:r>
              <w:rPr>
                <w:b/>
                <w:bCs/>
                <w:lang w:val="de-DE"/>
              </w:rPr>
              <w:t xml:space="preserve"> </w:t>
            </w:r>
            <w:proofErr w:type="spellStart"/>
            <w:r>
              <w:rPr>
                <w:b/>
                <w:bCs/>
                <w:lang w:val="de-DE"/>
              </w:rPr>
              <w:t>physique</w:t>
            </w:r>
            <w:proofErr w:type="spellEnd"/>
            <w:r>
              <w:rPr>
                <w:b/>
                <w:bCs/>
                <w:lang w:val="de-DE"/>
              </w:rPr>
              <w:t xml:space="preserve">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Un niveau d'activité physique insuffisant pour atteindre les recommandations actuelles d'activité physique [45, 80, 81].</w:t>
            </w:r>
          </w:p>
        </w:tc>
      </w:tr>
      <w:tr w:rsidR="00A77053">
        <w:trPr>
          <w:trHeight w:val="72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 xml:space="preserve">2. Comportement stationnaire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Le comportement stationnaire englobe toute activité effectuée en situation d’éveil en étant en position allongée, inclinée, assis ou debout sans ambulations, indépendamment des dépenses énergétiques.</w:t>
            </w:r>
          </w:p>
        </w:tc>
      </w:tr>
      <w:tr w:rsidR="00A77053">
        <w:trPr>
          <w:trHeight w:val="72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 xml:space="preserve">3. Comportement sédentaire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Le comportement sédentaire est un comportement d’éveil caractérisé par une dépense énergétique ≤1,5 taux d’équivalent métabolique (TEM) en étant dans une position assise, inclinée ou couchée [25]</w:t>
            </w:r>
          </w:p>
        </w:tc>
      </w:tr>
      <w:tr w:rsidR="00A77053">
        <w:trPr>
          <w:trHeight w:val="48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 xml:space="preserve">4. Etre debout 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Une position dans laquelle un individu doit maintenir une position verticale en étant supporté par ses pieds [83].</w:t>
            </w:r>
          </w:p>
        </w:tc>
      </w:tr>
      <w:tr w:rsidR="00A77053">
        <w:trPr>
          <w:trHeight w:val="72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 xml:space="preserve">5. Temps passé devant un écran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Le temps passé devant l’écran désigne le temps passé</w:t>
            </w:r>
            <w:r w:rsidR="007E5A60">
              <w:rPr>
                <w:rFonts w:eastAsia="Arial Unicode MS" w:cs="Arial Unicode MS"/>
              </w:rPr>
              <w:t xml:space="preserve"> devant un écran dans une finalité ludique ou professionnelle </w:t>
            </w:r>
            <w:r>
              <w:rPr>
                <w:rFonts w:eastAsia="Arial Unicode MS" w:cs="Arial Unicode MS"/>
              </w:rPr>
              <w:t xml:space="preserve"> [15, 85]. Ces comportements peuvent être effectués en étant sédentaire ou physiquement actif.</w:t>
            </w:r>
          </w:p>
        </w:tc>
      </w:tr>
      <w:tr w:rsidR="00A77053">
        <w:trPr>
          <w:trHeight w:val="72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>6. Temps sédentaire non basé sur l'écran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Le temps sédentaire non basé sur l'écran désigne le temps passé dans des comportements sédentaires qui n’implique pas l'utilisation d'écrans.</w:t>
            </w:r>
          </w:p>
        </w:tc>
      </w:tr>
      <w:tr w:rsidR="00A77053">
        <w:trPr>
          <w:trHeight w:val="48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 xml:space="preserve">7. Etre assis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Une position dans laquelle le poids de l’individu est soutenu plutôt par ses fessiers que par ses pieds, et dans laquelle son dos est droit [83].</w:t>
            </w:r>
          </w:p>
        </w:tc>
      </w:tr>
      <w:tr w:rsidR="00A77053">
        <w:trPr>
          <w:trHeight w:val="279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lastRenderedPageBreak/>
              <w:t xml:space="preserve">8. Position inclinée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La position inclinée est une position du corps entre l’état assis et couché.</w:t>
            </w:r>
          </w:p>
        </w:tc>
      </w:tr>
      <w:tr w:rsidR="00A77053">
        <w:trPr>
          <w:trHeight w:val="485"/>
        </w:trPr>
        <w:tc>
          <w:tcPr>
            <w:tcW w:w="2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 xml:space="preserve">9. Position allongée  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La position allongée désigne une position horizontale sur une surface de support [83].</w:t>
            </w:r>
          </w:p>
        </w:tc>
      </w:tr>
      <w:tr w:rsidR="00A77053">
        <w:trPr>
          <w:trHeight w:val="723"/>
        </w:trPr>
        <w:tc>
          <w:tcPr>
            <w:tcW w:w="205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b/>
                <w:bCs/>
              </w:rPr>
              <w:t>10. Tendance de comportement sédentaire</w:t>
            </w:r>
          </w:p>
        </w:tc>
        <w:tc>
          <w:tcPr>
            <w:tcW w:w="757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7053" w:rsidRDefault="00972FB1">
            <w:pPr>
              <w:pStyle w:val="TableStyle2"/>
            </w:pPr>
            <w:r>
              <w:rPr>
                <w:rFonts w:eastAsia="Arial Unicode MS" w:cs="Arial Unicode MS"/>
              </w:rPr>
              <w:t>La manière dont le comportement sédentaire s’accumule tout au long de la journée ou de la semaine pendant l’éveil. [19, 69].</w:t>
            </w:r>
          </w:p>
        </w:tc>
      </w:tr>
    </w:tbl>
    <w:p w:rsidR="00A77053" w:rsidRDefault="00A77053">
      <w:pPr>
        <w:pStyle w:val="Body"/>
      </w:pPr>
    </w:p>
    <w:p w:rsidR="00A77053" w:rsidRDefault="00A77053">
      <w:pPr>
        <w:pStyle w:val="Default"/>
        <w:spacing w:after="240" w:line="300" w:lineRule="atLeast"/>
        <w:rPr>
          <w:color w:val="131313"/>
        </w:rPr>
      </w:pPr>
    </w:p>
    <w:p w:rsidR="00A77053" w:rsidRDefault="00972FB1">
      <w:pPr>
        <w:pStyle w:val="Default"/>
        <w:spacing w:after="240" w:line="300" w:lineRule="atLeast"/>
        <w:rPr>
          <w:color w:val="131313"/>
        </w:rPr>
      </w:pPr>
      <w:r>
        <w:rPr>
          <w:color w:val="131313"/>
        </w:rPr>
        <w:t xml:space="preserve">Ce </w:t>
      </w:r>
      <w:proofErr w:type="spellStart"/>
      <w:r>
        <w:rPr>
          <w:color w:val="131313"/>
        </w:rPr>
        <w:t>mod</w:t>
      </w:r>
      <w:r>
        <w:rPr>
          <w:color w:val="131313"/>
          <w:lang w:val="fr-FR"/>
        </w:rPr>
        <w:t>èle</w:t>
      </w:r>
      <w:proofErr w:type="spellEnd"/>
      <w:r>
        <w:rPr>
          <w:color w:val="131313"/>
          <w:lang w:val="fr-FR"/>
        </w:rPr>
        <w:t xml:space="preserve"> conceptuel final illustre comment les </w:t>
      </w:r>
      <w:proofErr w:type="spellStart"/>
      <w:r>
        <w:rPr>
          <w:color w:val="131313"/>
          <w:lang w:val="fr-FR"/>
        </w:rPr>
        <w:t>diffé</w:t>
      </w:r>
      <w:r>
        <w:rPr>
          <w:color w:val="131313"/>
        </w:rPr>
        <w:t>rents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termes</w:t>
      </w:r>
      <w:proofErr w:type="spellEnd"/>
      <w:r>
        <w:rPr>
          <w:color w:val="131313"/>
        </w:rPr>
        <w:t xml:space="preserve"> et </w:t>
      </w:r>
      <w:proofErr w:type="spellStart"/>
      <w:r>
        <w:rPr>
          <w:color w:val="131313"/>
        </w:rPr>
        <w:t>définitions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sont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intégrés</w:t>
      </w:r>
      <w:proofErr w:type="spellEnd"/>
      <w:r>
        <w:rPr>
          <w:color w:val="131313"/>
          <w:lang w:val="fr-FR"/>
        </w:rPr>
        <w:t xml:space="preserve"> et </w:t>
      </w:r>
      <w:proofErr w:type="spellStart"/>
      <w:r>
        <w:rPr>
          <w:color w:val="131313"/>
        </w:rPr>
        <w:t>illustrent</w:t>
      </w:r>
      <w:proofErr w:type="spellEnd"/>
      <w:r>
        <w:rPr>
          <w:color w:val="131313"/>
          <w:lang w:val="fr-FR"/>
        </w:rPr>
        <w:t xml:space="preserve"> les définitions </w:t>
      </w:r>
      <w:proofErr w:type="spellStart"/>
      <w:r>
        <w:rPr>
          <w:color w:val="131313"/>
        </w:rPr>
        <w:t>établies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dans</w:t>
      </w:r>
      <w:proofErr w:type="spellEnd"/>
      <w:r>
        <w:rPr>
          <w:color w:val="131313"/>
        </w:rPr>
        <w:t xml:space="preserve"> le </w:t>
      </w:r>
      <w:proofErr w:type="spellStart"/>
      <w:r>
        <w:rPr>
          <w:color w:val="131313"/>
        </w:rPr>
        <w:t>cadre</w:t>
      </w:r>
      <w:proofErr w:type="spellEnd"/>
      <w:r>
        <w:rPr>
          <w:color w:val="131313"/>
        </w:rPr>
        <w:t xml:space="preserve"> de </w:t>
      </w:r>
      <w:proofErr w:type="spellStart"/>
      <w:r>
        <w:rPr>
          <w:color w:val="131313"/>
        </w:rPr>
        <w:t>cette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recherche</w:t>
      </w:r>
      <w:proofErr w:type="spellEnd"/>
      <w:r>
        <w:rPr>
          <w:color w:val="131313"/>
        </w:rPr>
        <w:t xml:space="preserve">. Le </w:t>
      </w:r>
      <w:proofErr w:type="spellStart"/>
      <w:r>
        <w:rPr>
          <w:color w:val="131313"/>
        </w:rPr>
        <w:t>cercle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référence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tous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mouvements</w:t>
      </w:r>
      <w:proofErr w:type="spellEnd"/>
      <w:r>
        <w:rPr>
          <w:color w:val="131313"/>
        </w:rPr>
        <w:t xml:space="preserve"> possibles </w:t>
      </w:r>
      <w:proofErr w:type="spellStart"/>
      <w:r>
        <w:rPr>
          <w:color w:val="131313"/>
        </w:rPr>
        <w:t>pendant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une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période</w:t>
      </w:r>
      <w:proofErr w:type="spellEnd"/>
      <w:r>
        <w:rPr>
          <w:color w:val="131313"/>
        </w:rPr>
        <w:t xml:space="preserve"> de 24 </w:t>
      </w:r>
      <w:proofErr w:type="spellStart"/>
      <w:proofErr w:type="gramStart"/>
      <w:r>
        <w:rPr>
          <w:color w:val="131313"/>
        </w:rPr>
        <w:t>heures</w:t>
      </w:r>
      <w:proofErr w:type="spellEnd"/>
      <w:r>
        <w:rPr>
          <w:color w:val="131313"/>
        </w:rPr>
        <w:t xml:space="preserve"> :</w:t>
      </w:r>
      <w:proofErr w:type="gramEnd"/>
      <w:r>
        <w:rPr>
          <w:color w:val="131313"/>
        </w:rPr>
        <w:t xml:space="preserve"> le </w:t>
      </w:r>
      <w:proofErr w:type="spellStart"/>
      <w:r>
        <w:rPr>
          <w:color w:val="131313"/>
        </w:rPr>
        <w:t>cercle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int</w:t>
      </w:r>
      <w:r>
        <w:rPr>
          <w:color w:val="131313"/>
          <w:lang w:val="fr-FR"/>
        </w:rPr>
        <w:t>érieur</w:t>
      </w:r>
      <w:proofErr w:type="spellEnd"/>
      <w:r>
        <w:rPr>
          <w:color w:val="131313"/>
          <w:lang w:val="fr-FR"/>
        </w:rPr>
        <w:t xml:space="preserve"> </w:t>
      </w:r>
      <w:proofErr w:type="spellStart"/>
      <w:r>
        <w:rPr>
          <w:color w:val="131313"/>
          <w:lang w:val="fr-FR"/>
        </w:rPr>
        <w:t>repré</w:t>
      </w:r>
      <w:proofErr w:type="spellEnd"/>
      <w:r>
        <w:rPr>
          <w:color w:val="131313"/>
          <w:lang w:val="it-IT"/>
        </w:rPr>
        <w:t xml:space="preserve">sente </w:t>
      </w:r>
      <w:proofErr w:type="spellStart"/>
      <w:r>
        <w:rPr>
          <w:color w:val="131313"/>
        </w:rPr>
        <w:t>trois</w:t>
      </w:r>
      <w:proofErr w:type="spellEnd"/>
      <w:r>
        <w:rPr>
          <w:color w:val="131313"/>
        </w:rPr>
        <w:t xml:space="preserve"> </w:t>
      </w:r>
      <w:r>
        <w:rPr>
          <w:color w:val="131313"/>
          <w:lang w:val="fr-FR"/>
        </w:rPr>
        <w:t>principales catégories de comportement. L'anneau extérieur fournit des caté</w:t>
      </w:r>
      <w:proofErr w:type="spellStart"/>
      <w:r>
        <w:rPr>
          <w:color w:val="131313"/>
          <w:lang w:val="en-US"/>
        </w:rPr>
        <w:t>gories</w:t>
      </w:r>
      <w:proofErr w:type="spellEnd"/>
      <w:r>
        <w:rPr>
          <w:color w:val="131313"/>
          <w:lang w:val="en-US"/>
        </w:rPr>
        <w:t xml:space="preserve"> g</w:t>
      </w:r>
      <w:r>
        <w:rPr>
          <w:color w:val="131313"/>
          <w:lang w:val="fr-FR"/>
        </w:rPr>
        <w:t>é</w:t>
      </w:r>
      <w:r>
        <w:rPr>
          <w:color w:val="131313"/>
        </w:rPr>
        <w:t>n</w:t>
      </w:r>
      <w:proofErr w:type="spellStart"/>
      <w:r>
        <w:rPr>
          <w:color w:val="131313"/>
          <w:lang w:val="fr-FR"/>
        </w:rPr>
        <w:t>érales</w:t>
      </w:r>
      <w:proofErr w:type="spellEnd"/>
      <w:r>
        <w:rPr>
          <w:color w:val="131313"/>
          <w:lang w:val="fr-FR"/>
        </w:rPr>
        <w:t xml:space="preserve"> en utilisant la posture.</w:t>
      </w:r>
      <w:r>
        <w:rPr>
          <w:noProof/>
          <w:color w:val="131313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1168489</wp:posOffset>
            </wp:positionH>
            <wp:positionV relativeFrom="line">
              <wp:posOffset>337674</wp:posOffset>
            </wp:positionV>
            <wp:extent cx="3770377" cy="354937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0377" cy="35493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77053" w:rsidRDefault="00972FB1">
      <w:pPr>
        <w:pStyle w:val="Default"/>
        <w:spacing w:after="240" w:line="300" w:lineRule="atLeast"/>
        <w:rPr>
          <w:color w:val="131313"/>
        </w:rPr>
      </w:pPr>
      <w:r>
        <w:rPr>
          <w:color w:val="131313"/>
        </w:rPr>
        <w:t xml:space="preserve">Pour </w:t>
      </w:r>
      <w:proofErr w:type="spellStart"/>
      <w:r>
        <w:rPr>
          <w:color w:val="131313"/>
        </w:rPr>
        <w:t>établir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ces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définitions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d’abord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une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recherche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littéraire</w:t>
      </w:r>
      <w:proofErr w:type="spellEnd"/>
      <w:r>
        <w:rPr>
          <w:color w:val="131313"/>
        </w:rPr>
        <w:t xml:space="preserve"> à </w:t>
      </w:r>
      <w:proofErr w:type="spellStart"/>
      <w:r>
        <w:rPr>
          <w:color w:val="131313"/>
        </w:rPr>
        <w:t>été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menée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pour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identifier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mots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clefs</w:t>
      </w:r>
      <w:proofErr w:type="spellEnd"/>
      <w:r>
        <w:rPr>
          <w:color w:val="131313"/>
        </w:rPr>
        <w:t xml:space="preserve"> de </w:t>
      </w:r>
      <w:proofErr w:type="spellStart"/>
      <w:r>
        <w:rPr>
          <w:color w:val="131313"/>
        </w:rPr>
        <w:t>ce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domaine</w:t>
      </w:r>
      <w:proofErr w:type="spellEnd"/>
      <w:r>
        <w:rPr>
          <w:color w:val="131313"/>
        </w:rPr>
        <w:t xml:space="preserve"> de </w:t>
      </w:r>
      <w:proofErr w:type="spellStart"/>
      <w:r>
        <w:rPr>
          <w:color w:val="131313"/>
        </w:rPr>
        <w:t>recherche</w:t>
      </w:r>
      <w:proofErr w:type="spellEnd"/>
      <w:r>
        <w:rPr>
          <w:color w:val="131313"/>
        </w:rPr>
        <w:t xml:space="preserve">.  Avant d’être </w:t>
      </w:r>
      <w:proofErr w:type="spellStart"/>
      <w:r>
        <w:rPr>
          <w:color w:val="131313"/>
        </w:rPr>
        <w:t>soumis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aux</w:t>
      </w:r>
      <w:proofErr w:type="spellEnd"/>
      <w:r>
        <w:rPr>
          <w:color w:val="131313"/>
        </w:rPr>
        <w:t xml:space="preserve"> 84 </w:t>
      </w:r>
      <w:proofErr w:type="spellStart"/>
      <w:r>
        <w:rPr>
          <w:color w:val="131313"/>
        </w:rPr>
        <w:t>membres</w:t>
      </w:r>
      <w:proofErr w:type="spellEnd"/>
      <w:r>
        <w:rPr>
          <w:color w:val="131313"/>
        </w:rPr>
        <w:t xml:space="preserve"> du “R</w:t>
      </w:r>
      <w:proofErr w:type="spellStart"/>
      <w:r>
        <w:rPr>
          <w:color w:val="131313"/>
          <w:lang w:val="fr-FR"/>
        </w:rPr>
        <w:t>éseau</w:t>
      </w:r>
      <w:proofErr w:type="spellEnd"/>
      <w:r>
        <w:rPr>
          <w:color w:val="131313"/>
          <w:lang w:val="fr-FR"/>
        </w:rPr>
        <w:t xml:space="preserve"> de recherche sur les comportements sédentaires</w:t>
      </w:r>
      <w:r>
        <w:rPr>
          <w:color w:val="131313"/>
        </w:rPr>
        <w:t xml:space="preserve">”, </w:t>
      </w:r>
      <w:proofErr w:type="spellStart"/>
      <w:r>
        <w:rPr>
          <w:color w:val="131313"/>
        </w:rPr>
        <w:t>ces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termes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ont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été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revu</w:t>
      </w:r>
      <w:proofErr w:type="spellEnd"/>
      <w:r>
        <w:rPr>
          <w:color w:val="131313"/>
        </w:rPr>
        <w:t xml:space="preserve"> et </w:t>
      </w:r>
      <w:proofErr w:type="spellStart"/>
      <w:r>
        <w:rPr>
          <w:color w:val="131313"/>
        </w:rPr>
        <w:t>modifié</w:t>
      </w:r>
      <w:proofErr w:type="spellEnd"/>
      <w:r>
        <w:rPr>
          <w:color w:val="131313"/>
        </w:rPr>
        <w:t xml:space="preserve"> par </w:t>
      </w:r>
      <w:proofErr w:type="spellStart"/>
      <w:r>
        <w:rPr>
          <w:color w:val="131313"/>
        </w:rPr>
        <w:t>un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comité</w:t>
      </w:r>
      <w:proofErr w:type="spellEnd"/>
      <w:r>
        <w:rPr>
          <w:color w:val="131313"/>
        </w:rPr>
        <w:t xml:space="preserve"> de </w:t>
      </w:r>
      <w:proofErr w:type="spellStart"/>
      <w:r>
        <w:rPr>
          <w:color w:val="131313"/>
        </w:rPr>
        <w:t>direction</w:t>
      </w:r>
      <w:proofErr w:type="spellEnd"/>
      <w:r>
        <w:rPr>
          <w:color w:val="131313"/>
        </w:rPr>
        <w:t xml:space="preserve"> interne. </w:t>
      </w:r>
      <w:proofErr w:type="spellStart"/>
      <w:r>
        <w:rPr>
          <w:color w:val="131313"/>
        </w:rPr>
        <w:t>L’ensemble</w:t>
      </w:r>
      <w:proofErr w:type="spellEnd"/>
      <w:r>
        <w:rPr>
          <w:color w:val="131313"/>
        </w:rPr>
        <w:t xml:space="preserve"> des </w:t>
      </w:r>
      <w:proofErr w:type="spellStart"/>
      <w:r>
        <w:rPr>
          <w:color w:val="131313"/>
        </w:rPr>
        <w:t>chercheurs</w:t>
      </w:r>
      <w:proofErr w:type="spellEnd"/>
      <w:r>
        <w:rPr>
          <w:color w:val="131313"/>
        </w:rPr>
        <w:t xml:space="preserve"> a </w:t>
      </w:r>
      <w:proofErr w:type="spellStart"/>
      <w:r>
        <w:rPr>
          <w:color w:val="131313"/>
        </w:rPr>
        <w:t>commenté</w:t>
      </w:r>
      <w:proofErr w:type="spellEnd"/>
      <w:r>
        <w:rPr>
          <w:color w:val="131313"/>
        </w:rPr>
        <w:t xml:space="preserve"> et </w:t>
      </w:r>
      <w:proofErr w:type="spellStart"/>
      <w:r>
        <w:rPr>
          <w:color w:val="131313"/>
        </w:rPr>
        <w:t>complété</w:t>
      </w:r>
      <w:proofErr w:type="spellEnd"/>
      <w:r>
        <w:rPr>
          <w:color w:val="131313"/>
        </w:rPr>
        <w:t xml:space="preserve"> la </w:t>
      </w:r>
      <w:proofErr w:type="spellStart"/>
      <w:r>
        <w:rPr>
          <w:color w:val="131313"/>
        </w:rPr>
        <w:t>liste</w:t>
      </w:r>
      <w:proofErr w:type="spellEnd"/>
      <w:r>
        <w:rPr>
          <w:color w:val="131313"/>
        </w:rPr>
        <w:t xml:space="preserve"> des </w:t>
      </w:r>
      <w:proofErr w:type="spellStart"/>
      <w:r>
        <w:rPr>
          <w:color w:val="131313"/>
        </w:rPr>
        <w:t>termes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proposés</w:t>
      </w:r>
      <w:proofErr w:type="spellEnd"/>
      <w:r>
        <w:rPr>
          <w:color w:val="131313"/>
        </w:rPr>
        <w:t xml:space="preserve"> au travers </w:t>
      </w:r>
      <w:proofErr w:type="spellStart"/>
      <w:r>
        <w:rPr>
          <w:color w:val="131313"/>
        </w:rPr>
        <w:t>d’une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enquête</w:t>
      </w:r>
      <w:proofErr w:type="spellEnd"/>
      <w:r>
        <w:rPr>
          <w:color w:val="131313"/>
        </w:rPr>
        <w:t xml:space="preserve"> en </w:t>
      </w:r>
      <w:proofErr w:type="spellStart"/>
      <w:r>
        <w:rPr>
          <w:color w:val="131313"/>
        </w:rPr>
        <w:t>ligne</w:t>
      </w:r>
      <w:proofErr w:type="spellEnd"/>
      <w:r>
        <w:rPr>
          <w:color w:val="131313"/>
        </w:rPr>
        <w:t xml:space="preserve">. </w:t>
      </w:r>
      <w:proofErr w:type="spellStart"/>
      <w:r>
        <w:rPr>
          <w:color w:val="131313"/>
        </w:rPr>
        <w:t>Ensuite</w:t>
      </w:r>
      <w:proofErr w:type="spellEnd"/>
      <w:r>
        <w:rPr>
          <w:color w:val="131313"/>
        </w:rPr>
        <w:t xml:space="preserve"> un </w:t>
      </w:r>
      <w:proofErr w:type="spellStart"/>
      <w:r>
        <w:rPr>
          <w:color w:val="131313"/>
        </w:rPr>
        <w:t>modèle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conceptuel</w:t>
      </w:r>
      <w:proofErr w:type="spellEnd"/>
      <w:r>
        <w:rPr>
          <w:color w:val="131313"/>
        </w:rPr>
        <w:t xml:space="preserve"> et </w:t>
      </w:r>
      <w:proofErr w:type="spellStart"/>
      <w:r>
        <w:rPr>
          <w:color w:val="131313"/>
        </w:rPr>
        <w:t>un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consensus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sur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les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définitions</w:t>
      </w:r>
      <w:proofErr w:type="spellEnd"/>
      <w:r>
        <w:rPr>
          <w:color w:val="131313"/>
        </w:rPr>
        <w:t xml:space="preserve"> a </w:t>
      </w:r>
      <w:proofErr w:type="spellStart"/>
      <w:r>
        <w:rPr>
          <w:color w:val="131313"/>
        </w:rPr>
        <w:t>été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complété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sur</w:t>
      </w:r>
      <w:proofErr w:type="spellEnd"/>
      <w:r>
        <w:rPr>
          <w:color w:val="131313"/>
        </w:rPr>
        <w:t xml:space="preserve"> la </w:t>
      </w:r>
      <w:proofErr w:type="spellStart"/>
      <w:r>
        <w:rPr>
          <w:color w:val="131313"/>
        </w:rPr>
        <w:t>base</w:t>
      </w:r>
      <w:proofErr w:type="spellEnd"/>
      <w:r>
        <w:rPr>
          <w:color w:val="131313"/>
        </w:rPr>
        <w:t xml:space="preserve"> des </w:t>
      </w:r>
      <w:proofErr w:type="spellStart"/>
      <w:r>
        <w:rPr>
          <w:color w:val="131313"/>
        </w:rPr>
        <w:t>retours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reçus</w:t>
      </w:r>
      <w:proofErr w:type="spellEnd"/>
      <w:r>
        <w:rPr>
          <w:color w:val="131313"/>
        </w:rPr>
        <w:t>.</w:t>
      </w:r>
    </w:p>
    <w:p w:rsidR="00A77053" w:rsidRDefault="00972FB1">
      <w:pPr>
        <w:pStyle w:val="Default"/>
        <w:spacing w:after="240" w:line="300" w:lineRule="atLeast"/>
      </w:pPr>
      <w:r>
        <w:rPr>
          <w:color w:val="131313"/>
        </w:rPr>
        <w:t xml:space="preserve"> </w:t>
      </w:r>
    </w:p>
    <w:sectPr w:rsidR="00A77053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F64" w:rsidRDefault="00A00F64">
      <w:r>
        <w:separator/>
      </w:r>
    </w:p>
  </w:endnote>
  <w:endnote w:type="continuationSeparator" w:id="0">
    <w:p w:rsidR="00A00F64" w:rsidRDefault="00A00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053" w:rsidRDefault="00A770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F64" w:rsidRDefault="00A00F64">
      <w:r>
        <w:separator/>
      </w:r>
    </w:p>
  </w:footnote>
  <w:footnote w:type="continuationSeparator" w:id="0">
    <w:p w:rsidR="00A00F64" w:rsidRDefault="00A00F64">
      <w:r>
        <w:continuationSeparator/>
      </w:r>
    </w:p>
  </w:footnote>
  <w:footnote w:type="continuationNotice" w:id="1">
    <w:p w:rsidR="00A00F64" w:rsidRDefault="00A00F64"/>
  </w:footnote>
  <w:footnote w:id="2">
    <w:p w:rsidR="00A77053" w:rsidRDefault="00972FB1">
      <w:pPr>
        <w:pStyle w:val="Footnote"/>
      </w:pPr>
      <w:r>
        <w:rPr>
          <w:rFonts w:ascii="Helvetica Light" w:eastAsia="Helvetica Light" w:hAnsi="Helvetica Light" w:cs="Helvetica Light"/>
          <w:sz w:val="16"/>
          <w:szCs w:val="16"/>
          <w:vertAlign w:val="superscript"/>
        </w:rPr>
        <w:footnoteRef/>
      </w:r>
      <w:r>
        <w:rPr>
          <w:rFonts w:ascii="Helvetica Light" w:hAnsi="Helvetica Light"/>
          <w:sz w:val="16"/>
          <w:szCs w:val="16"/>
        </w:rPr>
        <w:t xml:space="preserve"> </w:t>
      </w:r>
      <w:proofErr w:type="spellStart"/>
      <w:proofErr w:type="gramStart"/>
      <w:r>
        <w:rPr>
          <w:rFonts w:ascii="Helvetica Light" w:hAnsi="Helvetica Light"/>
          <w:sz w:val="16"/>
          <w:szCs w:val="16"/>
          <w:lang w:val="de-DE"/>
        </w:rPr>
        <w:t>Anglais</w:t>
      </w:r>
      <w:proofErr w:type="spellEnd"/>
      <w:r>
        <w:rPr>
          <w:rFonts w:ascii="Helvetica Light" w:hAnsi="Helvetica Light"/>
          <w:sz w:val="16"/>
          <w:szCs w:val="16"/>
          <w:lang w:val="de-DE"/>
        </w:rPr>
        <w:t xml:space="preserve"> :</w:t>
      </w:r>
      <w:proofErr w:type="gramEnd"/>
      <w:r>
        <w:rPr>
          <w:rFonts w:ascii="Helvetica Light" w:hAnsi="Helvetica Light"/>
          <w:sz w:val="16"/>
          <w:szCs w:val="16"/>
          <w:lang w:val="de-DE"/>
        </w:rPr>
        <w:t xml:space="preserve"> </w:t>
      </w:r>
      <w:r>
        <w:rPr>
          <w:rFonts w:ascii="Helvetica Light" w:hAnsi="Helvetica Light"/>
          <w:sz w:val="16"/>
          <w:szCs w:val="16"/>
          <w:lang w:val="en-US"/>
        </w:rPr>
        <w:t>Sedentary Behavior Research Network (SBRN</w:t>
      </w:r>
      <w:r>
        <w:rPr>
          <w:rFonts w:ascii="Helvetica Light" w:hAnsi="Helvetica Light"/>
          <w:sz w:val="16"/>
          <w:szCs w:val="16"/>
          <w:lang w:val="de-DE"/>
        </w:rPr>
        <w:t>)</w:t>
      </w:r>
    </w:p>
  </w:footnote>
  <w:footnote w:id="3">
    <w:p w:rsidR="00A77053" w:rsidRDefault="00972FB1">
      <w:pPr>
        <w:pStyle w:val="Footnote"/>
      </w:pPr>
      <w:r>
        <w:rPr>
          <w:rFonts w:ascii="Helvetica Light" w:eastAsia="Helvetica Light" w:hAnsi="Helvetica Light" w:cs="Helvetica Light"/>
          <w:sz w:val="16"/>
          <w:szCs w:val="16"/>
          <w:vertAlign w:val="superscript"/>
        </w:rPr>
        <w:footnoteRef/>
      </w:r>
      <w:r>
        <w:rPr>
          <w:rFonts w:ascii="Helvetica Light" w:hAnsi="Helvetica Light"/>
          <w:sz w:val="16"/>
          <w:szCs w:val="16"/>
          <w:lang w:val="en-US"/>
        </w:rPr>
        <w:t xml:space="preserve"> Healthy Active Living and Obesity Research Healthy</w:t>
      </w:r>
      <w:r>
        <w:rPr>
          <w:rFonts w:ascii="Helvetica Light" w:hAnsi="Helvetica Light"/>
          <w:sz w:val="16"/>
          <w:szCs w:val="16"/>
          <w:lang w:val="de-DE"/>
        </w:rPr>
        <w:t xml:space="preserve">, </w:t>
      </w:r>
      <w:r>
        <w:rPr>
          <w:rFonts w:ascii="Arial Unicode MS" w:eastAsia="Arial Unicode MS" w:hAnsi="Arial Unicode MS" w:cs="Arial Unicode MS"/>
          <w:sz w:val="16"/>
          <w:szCs w:val="16"/>
        </w:rPr>
        <w:br/>
      </w:r>
      <w:r>
        <w:rPr>
          <w:rFonts w:ascii="Helvetica Light" w:hAnsi="Helvetica Light"/>
          <w:sz w:val="16"/>
          <w:szCs w:val="16"/>
          <w:lang w:val="en-US"/>
        </w:rPr>
        <w:t>http://www.haloresearch.ca/dr-mark-tremblay/</w:t>
      </w:r>
    </w:p>
  </w:footnote>
  <w:footnote w:id="4">
    <w:p w:rsidR="00A77053" w:rsidRDefault="00972FB1">
      <w:pPr>
        <w:pStyle w:val="Footnote"/>
      </w:pPr>
      <w:r>
        <w:rPr>
          <w:rFonts w:ascii="Helvetica Light" w:eastAsia="Helvetica Light" w:hAnsi="Helvetica Light" w:cs="Helvetica Light"/>
          <w:sz w:val="16"/>
          <w:szCs w:val="16"/>
          <w:vertAlign w:val="superscript"/>
        </w:rPr>
        <w:footnoteRef/>
      </w:r>
      <w:r>
        <w:rPr>
          <w:rFonts w:ascii="Helvetica Light" w:hAnsi="Helvetica Light"/>
          <w:sz w:val="16"/>
          <w:szCs w:val="16"/>
          <w:lang w:val="de-DE"/>
        </w:rPr>
        <w:t xml:space="preserve"> </w:t>
      </w:r>
      <w:r>
        <w:rPr>
          <w:rFonts w:ascii="Helvetica Light" w:hAnsi="Helvetica Light"/>
          <w:sz w:val="16"/>
          <w:szCs w:val="16"/>
          <w:lang w:val="en-US"/>
        </w:rPr>
        <w:t xml:space="preserve">Young DR, </w:t>
      </w:r>
      <w:proofErr w:type="spellStart"/>
      <w:r>
        <w:rPr>
          <w:rFonts w:ascii="Helvetica Light" w:hAnsi="Helvetica Light"/>
          <w:sz w:val="16"/>
          <w:szCs w:val="16"/>
          <w:lang w:val="en-US"/>
        </w:rPr>
        <w:t>Hivert</w:t>
      </w:r>
      <w:proofErr w:type="spellEnd"/>
      <w:r>
        <w:rPr>
          <w:rFonts w:ascii="Helvetica Light" w:hAnsi="Helvetica Light"/>
          <w:sz w:val="16"/>
          <w:szCs w:val="16"/>
          <w:lang w:val="en-US"/>
        </w:rPr>
        <w:t xml:space="preserve"> MF, Alhassan S, </w:t>
      </w:r>
      <w:proofErr w:type="spellStart"/>
      <w:r>
        <w:rPr>
          <w:rFonts w:ascii="Helvetica Light" w:hAnsi="Helvetica Light"/>
          <w:sz w:val="16"/>
          <w:szCs w:val="16"/>
          <w:lang w:val="en-US"/>
        </w:rPr>
        <w:t>Camhi</w:t>
      </w:r>
      <w:proofErr w:type="spellEnd"/>
      <w:r>
        <w:rPr>
          <w:rFonts w:ascii="Helvetica Light" w:hAnsi="Helvetica Light"/>
          <w:sz w:val="16"/>
          <w:szCs w:val="16"/>
          <w:lang w:val="en-US"/>
        </w:rPr>
        <w:t xml:space="preserve"> SM, Ferguson JF, </w:t>
      </w:r>
      <w:proofErr w:type="spellStart"/>
      <w:r>
        <w:rPr>
          <w:rFonts w:ascii="Helvetica Light" w:hAnsi="Helvetica Light"/>
          <w:sz w:val="16"/>
          <w:szCs w:val="16"/>
          <w:lang w:val="en-US"/>
        </w:rPr>
        <w:t>Katzmarzyk</w:t>
      </w:r>
      <w:proofErr w:type="spellEnd"/>
      <w:r>
        <w:rPr>
          <w:rFonts w:ascii="Helvetica Light" w:hAnsi="Helvetica Light"/>
          <w:sz w:val="16"/>
          <w:szCs w:val="16"/>
          <w:lang w:val="en-US"/>
        </w:rPr>
        <w:t xml:space="preserve"> PT, et al. Sedentary Behavior and Cardiovascular Morbidity and Mortality: A Science Advisory </w:t>
      </w:r>
      <w:proofErr w:type="gramStart"/>
      <w:r>
        <w:rPr>
          <w:rFonts w:ascii="Helvetica Light" w:hAnsi="Helvetica Light"/>
          <w:sz w:val="16"/>
          <w:szCs w:val="16"/>
          <w:lang w:val="en-US"/>
        </w:rPr>
        <w:t>From</w:t>
      </w:r>
      <w:proofErr w:type="gramEnd"/>
      <w:r>
        <w:rPr>
          <w:rFonts w:ascii="Helvetica Light" w:hAnsi="Helvetica Light"/>
          <w:sz w:val="16"/>
          <w:szCs w:val="16"/>
          <w:lang w:val="en-US"/>
        </w:rPr>
        <w:t xml:space="preserve"> the American Heart Association. Circulation. 2016; 134(13</w:t>
      </w:r>
      <w:proofErr w:type="gramStart"/>
      <w:r>
        <w:rPr>
          <w:rFonts w:ascii="Helvetica Light" w:hAnsi="Helvetica Light"/>
          <w:sz w:val="16"/>
          <w:szCs w:val="16"/>
          <w:lang w:val="en-US"/>
        </w:rPr>
        <w:t>):e</w:t>
      </w:r>
      <w:proofErr w:type="gramEnd"/>
      <w:r>
        <w:rPr>
          <w:rFonts w:ascii="Helvetica Light" w:hAnsi="Helvetica Light"/>
          <w:sz w:val="16"/>
          <w:szCs w:val="16"/>
          <w:lang w:val="en-US"/>
        </w:rPr>
        <w:t>262</w:t>
      </w:r>
      <w:r>
        <w:rPr>
          <w:rFonts w:ascii="Helvetica Light" w:hAnsi="Helvetica Light"/>
          <w:sz w:val="16"/>
          <w:szCs w:val="16"/>
        </w:rPr>
        <w:t xml:space="preserve">–79. </w:t>
      </w:r>
      <w:r>
        <w:rPr>
          <w:rFonts w:ascii="Arial Unicode MS" w:eastAsia="Arial Unicode MS" w:hAnsi="Arial Unicode MS" w:cs="Arial Unicode MS"/>
          <w:sz w:val="16"/>
          <w:szCs w:val="16"/>
        </w:rPr>
        <w:br/>
      </w:r>
    </w:p>
  </w:footnote>
  <w:footnote w:id="5">
    <w:p w:rsidR="00A77053" w:rsidRDefault="00972FB1">
      <w:pPr>
        <w:pStyle w:val="Footnote"/>
      </w:pPr>
      <w:r>
        <w:rPr>
          <w:rFonts w:ascii="Helvetica Light" w:eastAsia="Helvetica Light" w:hAnsi="Helvetica Light" w:cs="Helvetica Light"/>
          <w:sz w:val="16"/>
          <w:szCs w:val="16"/>
          <w:vertAlign w:val="superscript"/>
        </w:rPr>
        <w:footnoteRef/>
      </w:r>
      <w:r>
        <w:rPr>
          <w:rFonts w:ascii="Helvetica Light" w:hAnsi="Helvetica Light"/>
          <w:sz w:val="16"/>
          <w:szCs w:val="16"/>
        </w:rPr>
        <w:t xml:space="preserve"> Anglais</w:t>
      </w:r>
      <w:r>
        <w:rPr>
          <w:rFonts w:ascii="Helvetica Light" w:hAnsi="Helvetica Light"/>
          <w:sz w:val="16"/>
          <w:szCs w:val="16"/>
          <w:lang w:val="de-DE"/>
        </w:rPr>
        <w:t xml:space="preserve"> : </w:t>
      </w:r>
      <w:r>
        <w:rPr>
          <w:rFonts w:ascii="Helvetica Light" w:hAnsi="Helvetica Light"/>
          <w:sz w:val="16"/>
          <w:szCs w:val="16"/>
          <w:lang w:val="en-US"/>
        </w:rPr>
        <w:t>Terminology Consensus Project process and outcome</w:t>
      </w:r>
    </w:p>
  </w:footnote>
  <w:footnote w:id="6">
    <w:p w:rsidR="00A77053" w:rsidRDefault="00972FB1">
      <w:pPr>
        <w:pStyle w:val="Footnote"/>
      </w:pPr>
      <w:r>
        <w:rPr>
          <w:rFonts w:ascii="Helvetica Light" w:eastAsia="Helvetica Light" w:hAnsi="Helvetica Light" w:cs="Helvetica Light"/>
          <w:sz w:val="16"/>
          <w:szCs w:val="16"/>
          <w:vertAlign w:val="superscript"/>
        </w:rPr>
        <w:footnoteRef/>
      </w:r>
      <w:r>
        <w:rPr>
          <w:rFonts w:ascii="Helvetica Light" w:hAnsi="Helvetica Light"/>
          <w:sz w:val="16"/>
          <w:szCs w:val="16"/>
        </w:rPr>
        <w:t xml:space="preserve"> </w:t>
      </w:r>
      <w:proofErr w:type="spellStart"/>
      <w:proofErr w:type="gramStart"/>
      <w:r>
        <w:rPr>
          <w:rFonts w:ascii="Helvetica Light" w:hAnsi="Helvetica Light"/>
          <w:sz w:val="16"/>
          <w:szCs w:val="16"/>
          <w:lang w:val="de-DE"/>
        </w:rPr>
        <w:t>Anglais</w:t>
      </w:r>
      <w:proofErr w:type="spellEnd"/>
      <w:r>
        <w:rPr>
          <w:rFonts w:ascii="Helvetica Light" w:hAnsi="Helvetica Light"/>
          <w:sz w:val="16"/>
          <w:szCs w:val="16"/>
          <w:lang w:val="de-DE"/>
        </w:rPr>
        <w:t xml:space="preserve"> :</w:t>
      </w:r>
      <w:proofErr w:type="gramEnd"/>
      <w:r>
        <w:rPr>
          <w:rFonts w:ascii="Helvetica Light" w:hAnsi="Helvetica Light"/>
          <w:sz w:val="16"/>
          <w:szCs w:val="16"/>
          <w:lang w:val="de-DE"/>
        </w:rPr>
        <w:t xml:space="preserve"> </w:t>
      </w:r>
      <w:r>
        <w:rPr>
          <w:rFonts w:ascii="Helvetica Light" w:hAnsi="Helvetica Light"/>
          <w:sz w:val="16"/>
          <w:szCs w:val="16"/>
          <w:lang w:val="en-US"/>
        </w:rPr>
        <w:t>International Journal of Behavioral Nutrition and Physical Activity</w:t>
      </w:r>
    </w:p>
  </w:footnote>
  <w:footnote w:id="7">
    <w:p w:rsidR="00A77053" w:rsidRDefault="00972FB1">
      <w:pPr>
        <w:pStyle w:val="Footnote"/>
      </w:pPr>
      <w:r>
        <w:rPr>
          <w:rFonts w:ascii="Helvetica Light" w:eastAsia="Helvetica Light" w:hAnsi="Helvetica Light" w:cs="Helvetica Light"/>
          <w:sz w:val="16"/>
          <w:szCs w:val="16"/>
          <w:vertAlign w:val="superscript"/>
        </w:rPr>
        <w:footnoteRef/>
      </w:r>
      <w:r>
        <w:rPr>
          <w:rFonts w:ascii="Helvetica Light" w:hAnsi="Helvetica Light"/>
          <w:sz w:val="16"/>
          <w:szCs w:val="16"/>
        </w:rPr>
        <w:t xml:space="preserve"> </w:t>
      </w:r>
      <w:hyperlink r:id="rId1" w:history="1">
        <w:r>
          <w:rPr>
            <w:rStyle w:val="Hyperlink0"/>
            <w:lang w:val="en-US"/>
          </w:rPr>
          <w:t>https://ijbnpa.biomedcentral.com/articles/10.1186/s12966-017-0525-8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053" w:rsidRDefault="00A770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9B69AF"/>
    <w:multiLevelType w:val="hybridMultilevel"/>
    <w:tmpl w:val="61206D54"/>
    <w:lvl w:ilvl="0" w:tplc="98BCE916">
      <w:start w:val="1"/>
      <w:numFmt w:val="decimal"/>
      <w:lvlText w:val="%1."/>
      <w:lvlJc w:val="left"/>
      <w:pPr>
        <w:ind w:left="32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4299DE">
      <w:start w:val="1"/>
      <w:numFmt w:val="decimal"/>
      <w:lvlText w:val="%2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665E6">
      <w:start w:val="1"/>
      <w:numFmt w:val="decimal"/>
      <w:lvlText w:val="%3."/>
      <w:lvlJc w:val="left"/>
      <w:pPr>
        <w:ind w:left="10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6061CA">
      <w:start w:val="1"/>
      <w:numFmt w:val="decimal"/>
      <w:lvlText w:val="%4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DC41F8">
      <w:start w:val="1"/>
      <w:numFmt w:val="decimal"/>
      <w:lvlText w:val="%5."/>
      <w:lvlJc w:val="left"/>
      <w:pPr>
        <w:ind w:left="176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7CEC60">
      <w:start w:val="1"/>
      <w:numFmt w:val="decimal"/>
      <w:lvlText w:val="%6."/>
      <w:lvlJc w:val="left"/>
      <w:pPr>
        <w:ind w:left="212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940790">
      <w:start w:val="1"/>
      <w:numFmt w:val="decimal"/>
      <w:lvlText w:val="%7."/>
      <w:lvlJc w:val="left"/>
      <w:pPr>
        <w:ind w:left="248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2084B4">
      <w:start w:val="1"/>
      <w:numFmt w:val="decimal"/>
      <w:lvlText w:val="%8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54940E">
      <w:start w:val="1"/>
      <w:numFmt w:val="decimal"/>
      <w:lvlText w:val="%9."/>
      <w:lvlJc w:val="left"/>
      <w:pPr>
        <w:ind w:left="320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053"/>
    <w:rsid w:val="007E5A60"/>
    <w:rsid w:val="009058A9"/>
    <w:rsid w:val="00972FB1"/>
    <w:rsid w:val="00A00F64"/>
    <w:rsid w:val="00A77053"/>
    <w:rsid w:val="00D3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207D8-F0AD-4F0B-B8B1-91ECC822C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de-DE"/>
    </w:rPr>
  </w:style>
  <w:style w:type="paragraph" w:customStyle="1" w:styleId="Footnote">
    <w:name w:val="Footnote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 Light" w:eastAsia="Helvetica Light" w:hAnsi="Helvetica Light" w:cs="Helvetica Light"/>
      <w:sz w:val="16"/>
      <w:szCs w:val="16"/>
      <w:u w:val="single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jbnpa.biomedcentral.com/articles/10.1186/s12966-017-0525-8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751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Preston RAVAIL</dc:creator>
  <cp:lastModifiedBy>Preston RAVAIL</cp:lastModifiedBy>
  <cp:revision>2</cp:revision>
  <dcterms:created xsi:type="dcterms:W3CDTF">2019-11-08T05:20:00Z</dcterms:created>
  <dcterms:modified xsi:type="dcterms:W3CDTF">2019-11-08T05:20:00Z</dcterms:modified>
</cp:coreProperties>
</file>